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04EA76C" w14:textId="13FB944C" w:rsidR="00B8466C" w:rsidRPr="00B8466C" w:rsidRDefault="00AC02AD" w:rsidP="009731BB">
      <w:pPr>
        <w:jc w:val="center"/>
        <w:rPr>
          <w:b/>
          <w:sz w:val="28"/>
        </w:rPr>
      </w:pPr>
      <w:r w:rsidRPr="00B8466C">
        <w:rPr>
          <w:b/>
          <w:sz w:val="28"/>
        </w:rPr>
        <w:t>Best Practices for Processing and Analysis of Crispr Screens</w:t>
      </w:r>
    </w:p>
    <w:p w14:paraId="38FDE116" w14:textId="7479CC1F" w:rsidR="008B0482" w:rsidRDefault="00AC02AD" w:rsidP="009731BB">
      <w:pPr>
        <w:jc w:val="center"/>
      </w:pPr>
      <w:r>
        <w:t>Russell Bainer</w:t>
      </w:r>
    </w:p>
    <w:p w14:paraId="7EB0EE4B" w14:textId="39B36371" w:rsidR="00AC02AD" w:rsidRDefault="00A3704E" w:rsidP="009731BB">
      <w:pPr>
        <w:jc w:val="center"/>
      </w:pPr>
      <w:r>
        <w:t xml:space="preserve">Updated </w:t>
      </w:r>
      <w:r w:rsidR="001220A7">
        <w:t>May 2016</w:t>
      </w:r>
    </w:p>
    <w:p w14:paraId="7F98C50F" w14:textId="77777777" w:rsidR="00B8466C" w:rsidRDefault="00B8466C"/>
    <w:p w14:paraId="64B2BA44" w14:textId="77777777" w:rsidR="00AC02AD" w:rsidRPr="00B8466C" w:rsidRDefault="00F03929">
      <w:pPr>
        <w:rPr>
          <w:b/>
        </w:rPr>
      </w:pPr>
      <w:r w:rsidRPr="00B8466C">
        <w:rPr>
          <w:b/>
        </w:rPr>
        <w:t>Overview</w:t>
      </w:r>
    </w:p>
    <w:p w14:paraId="37A0A8D5" w14:textId="77777777" w:rsidR="00F03929" w:rsidRDefault="00F03929"/>
    <w:p w14:paraId="3C62B3D5" w14:textId="51A5A3A3" w:rsidR="003C0A05" w:rsidRDefault="00B8466C">
      <w:r>
        <w:t xml:space="preserve">This document contains a statement of current best practices for the effective processing, quality control, and analysis of high throughput sequencing data derived from crispr-based competitive screens. In </w:t>
      </w:r>
      <w:r w:rsidR="00584261">
        <w:t xml:space="preserve">these experiments, a cell line is </w:t>
      </w:r>
      <w:r>
        <w:t xml:space="preserve">infected with a complex </w:t>
      </w:r>
      <w:r w:rsidR="00584261">
        <w:t>lentiviral library to produce a heterogenously transduced culture in which each cell contains a small number of randomly-integrated cassettes that stably express a Crispr/Cas9 guide RNA (</w:t>
      </w:r>
      <w:r w:rsidR="006E0126">
        <w:t>“</w:t>
      </w:r>
      <w:r w:rsidR="00584261">
        <w:t>gRNA</w:t>
      </w:r>
      <w:r w:rsidR="006E0126">
        <w:t>”</w:t>
      </w:r>
      <w:r w:rsidR="00584261">
        <w:t xml:space="preserve">). </w:t>
      </w:r>
      <w:r w:rsidR="006E0126">
        <w:t>When expressed in the pr</w:t>
      </w:r>
      <w:r w:rsidR="006430E4">
        <w:t>esence of the Cas9 protein, thes</w:t>
      </w:r>
      <w:r w:rsidR="006E0126">
        <w:t>e gRNAs direct the enzyme to induce double-stranded breaks at complimentary sequences, generally disrupting the corresponding genomic element (“ta</w:t>
      </w:r>
      <w:r w:rsidR="003C0A05">
        <w:t xml:space="preserve">rget”). In the context of a </w:t>
      </w:r>
      <w:r w:rsidR="009731BB">
        <w:t>C</w:t>
      </w:r>
      <w:r w:rsidR="003C0A05">
        <w:t>rispr screen, cassettes encoding gRNAs that disrupt targets influencing cell viability or proliferation will be disproportionately enriched or depleted relative to the abundances observed in the control sample.</w:t>
      </w:r>
    </w:p>
    <w:p w14:paraId="2A6B3787" w14:textId="77777777" w:rsidR="003C0A05" w:rsidRDefault="003C0A05"/>
    <w:p w14:paraId="5E01E21A" w14:textId="3B5759D2" w:rsidR="003C0A05" w:rsidRDefault="006E0126">
      <w:r>
        <w:t xml:space="preserve">Typically, </w:t>
      </w:r>
      <w:r w:rsidR="003C0A05">
        <w:t xml:space="preserve">Crispr screening </w:t>
      </w:r>
      <w:r>
        <w:t>libr</w:t>
      </w:r>
      <w:r w:rsidR="006430E4">
        <w:t>aries contain m</w:t>
      </w:r>
      <w:r w:rsidR="003C0A05">
        <w:t>ultiple cassettes encoding distinct gRNAs that induce breaks at differen</w:t>
      </w:r>
      <w:r w:rsidR="00DB2C93">
        <w:t xml:space="preserve">t locations within each target (“gRNA set” or “guide set”). In most cases, it is desirable to summarize the depletion or enrichment signals within the gRNA set to arrive at a list of target-level candidates suitable for subsequent experimental validation. Consequently, a typical workflow will be subdivided into a gRNA-level analysis in which the evidence for enrichment or depletion of each gRNA within the library is independently assessed, and a summarization step in which these signals are aggregated at the target level to prioritize candidates. </w:t>
      </w:r>
    </w:p>
    <w:p w14:paraId="631B594A" w14:textId="77777777" w:rsidR="00B8466C" w:rsidRDefault="00B8466C"/>
    <w:p w14:paraId="03FC3DA9" w14:textId="78ACBE8E" w:rsidR="00B8466C" w:rsidRPr="00B8466C" w:rsidRDefault="00B8466C">
      <w:pPr>
        <w:rPr>
          <w:b/>
        </w:rPr>
      </w:pPr>
      <w:r w:rsidRPr="00B8466C">
        <w:rPr>
          <w:b/>
        </w:rPr>
        <w:t>Major Considerations</w:t>
      </w:r>
    </w:p>
    <w:p w14:paraId="691912F7" w14:textId="77777777" w:rsidR="00207768" w:rsidRDefault="00207768"/>
    <w:p w14:paraId="6EBF6848" w14:textId="208BE193" w:rsidR="009A4994" w:rsidRDefault="001220A7">
      <w:r>
        <w:t xml:space="preserve">Pooled </w:t>
      </w:r>
      <w:r w:rsidR="00BB5FBA">
        <w:t xml:space="preserve">Crispr </w:t>
      </w:r>
      <w:r>
        <w:t xml:space="preserve">screening </w:t>
      </w:r>
      <w:r w:rsidR="00BB5FBA">
        <w:t xml:space="preserve">remains a </w:t>
      </w:r>
      <w:r>
        <w:t>somewhat nascent</w:t>
      </w:r>
      <w:r w:rsidR="00BB5FBA">
        <w:t xml:space="preserve"> technology, and many of the recommendations in this document will be revised as we gain</w:t>
      </w:r>
      <w:r w:rsidR="0044772B">
        <w:t xml:space="preserve"> experience with these screens. </w:t>
      </w:r>
      <w:r w:rsidR="00F95BBA">
        <w:t xml:space="preserve">At this time, we recommend that all Crispr </w:t>
      </w:r>
      <w:r w:rsidR="00063D8F">
        <w:t>libraries</w:t>
      </w:r>
      <w:r w:rsidR="00F95BBA">
        <w:t xml:space="preserve"> be sequenced paired-end at approxima</w:t>
      </w:r>
      <w:r w:rsidR="00063D8F">
        <w:t xml:space="preserve">tely 1000x coverage, </w:t>
      </w:r>
      <w:r w:rsidR="009731BB">
        <w:t>generating</w:t>
      </w:r>
      <w:r w:rsidR="00063D8F">
        <w:t xml:space="preserve"> </w:t>
      </w:r>
      <w:r w:rsidR="002966E1">
        <w:t>75</w:t>
      </w:r>
      <w:r w:rsidR="00063D8F">
        <w:t xml:space="preserve">bp reads. </w:t>
      </w:r>
      <w:r>
        <w:t xml:space="preserve">In practice, this approach will enable the median gRNA to be detected on the order of hundreds of times, as gRNA cassettes are not equivalently abundant within libraries. </w:t>
      </w:r>
      <w:r w:rsidR="00063D8F">
        <w:t xml:space="preserve">Ideally, screens should be performed in triplicate as full biological replicates to </w:t>
      </w:r>
      <w:r>
        <w:t>sufficiently</w:t>
      </w:r>
      <w:r w:rsidR="00063D8F">
        <w:t xml:space="preserve"> capture variance in the efficacy of the guide</w:t>
      </w:r>
      <w:r>
        <w:t xml:space="preserve"> cassettes</w:t>
      </w:r>
      <w:r w:rsidR="00063D8F">
        <w:t xml:space="preserve">. </w:t>
      </w:r>
    </w:p>
    <w:p w14:paraId="54C91C3E" w14:textId="77777777" w:rsidR="009A4994" w:rsidRDefault="009A4994"/>
    <w:p w14:paraId="2827D565" w14:textId="4B61E93F" w:rsidR="0059556B" w:rsidRDefault="00063D8F" w:rsidP="0059556B">
      <w:r>
        <w:t xml:space="preserve">Proper sample pairing is also important, and different </w:t>
      </w:r>
      <w:r w:rsidR="006E6699">
        <w:t xml:space="preserve">experiments will </w:t>
      </w:r>
      <w:r w:rsidR="009A4994">
        <w:t>require different</w:t>
      </w:r>
      <w:r w:rsidR="006E6699">
        <w:t xml:space="preserve"> designs and controls</w:t>
      </w:r>
      <w:r w:rsidR="009A4994">
        <w:t>.</w:t>
      </w:r>
      <w:r w:rsidR="006E6699">
        <w:t xml:space="preserve"> In particular, some study designs require parallel infection of treatment and control cell cultures, such as when multiple cell lines are compared to each other, or when an engineered cell line is compared to the isogenic parental line; </w:t>
      </w:r>
      <w:r w:rsidR="00BB5FBA">
        <w:t>i</w:t>
      </w:r>
      <w:r w:rsidR="006E6699">
        <w:t xml:space="preserve">n these cases, it is critical to include early timepoint samples to </w:t>
      </w:r>
      <w:r w:rsidR="006E6699">
        <w:lastRenderedPageBreak/>
        <w:t xml:space="preserve">capture variation </w:t>
      </w:r>
      <w:r w:rsidR="009731BB">
        <w:t xml:space="preserve">in gRNA abundance that may be introduced by </w:t>
      </w:r>
      <w:r w:rsidR="006E6699">
        <w:t>the re</w:t>
      </w:r>
      <w:r w:rsidR="00BB5FBA">
        <w:t>spective</w:t>
      </w:r>
      <w:r w:rsidR="006E6699">
        <w:t xml:space="preserve"> infections. </w:t>
      </w:r>
      <w:r w:rsidR="00BB5FBA">
        <w:t>Furthermore, the</w:t>
      </w:r>
      <w:r w:rsidR="0059556B">
        <w:t>s</w:t>
      </w:r>
      <w:r w:rsidR="00BB5FBA">
        <w:t xml:space="preserve">e screen cultures </w:t>
      </w:r>
      <w:r w:rsidR="001F3647">
        <w:t xml:space="preserve">are likely to vary in gRNA composition </w:t>
      </w:r>
      <w:r w:rsidR="00BB5FBA">
        <w:t>over time even in the absence of stimulus</w:t>
      </w:r>
      <w:r w:rsidR="0059556B">
        <w:t xml:space="preserve"> because the engineered modification or biological variate that differentiates the lines is expected to causally influence the cells’ biological characteristics. </w:t>
      </w:r>
    </w:p>
    <w:p w14:paraId="75E4BFF4" w14:textId="77777777" w:rsidR="0059556B" w:rsidRDefault="0059556B" w:rsidP="0059556B"/>
    <w:p w14:paraId="3D275822" w14:textId="6D78D163" w:rsidR="00063D8F" w:rsidRDefault="00BB5FBA" w:rsidP="0059556B">
      <w:r>
        <w:t>Consequently</w:t>
      </w:r>
      <w:r w:rsidR="009A4994">
        <w:t xml:space="preserve">, comparisons between </w:t>
      </w:r>
      <w:r w:rsidR="0059556B">
        <w:t xml:space="preserve">non-isogenic </w:t>
      </w:r>
      <w:r w:rsidR="009A4994">
        <w:t xml:space="preserve">paired samples that </w:t>
      </w:r>
      <w:r w:rsidR="0059556B">
        <w:t xml:space="preserve">incorporate both early and late timepoints in the framework of a linear model </w:t>
      </w:r>
      <w:r w:rsidR="009A4994">
        <w:t xml:space="preserve">are </w:t>
      </w:r>
      <w:r w:rsidR="002966E1">
        <w:t xml:space="preserve">generally </w:t>
      </w:r>
      <w:r w:rsidR="009A4994">
        <w:t xml:space="preserve">preferable to </w:t>
      </w:r>
      <w:r w:rsidR="0059556B">
        <w:t xml:space="preserve">simpler study designs that </w:t>
      </w:r>
      <w:r w:rsidR="00D62DEC">
        <w:t xml:space="preserve">only </w:t>
      </w:r>
      <w:r w:rsidR="0059556B">
        <w:t>compare t</w:t>
      </w:r>
      <w:r w:rsidR="00D62DEC">
        <w:t xml:space="preserve">he endpoint cultures. </w:t>
      </w:r>
    </w:p>
    <w:p w14:paraId="2B3D6678" w14:textId="77777777" w:rsidR="00B8466C" w:rsidRDefault="00B8466C"/>
    <w:p w14:paraId="3E52EB14" w14:textId="77777777" w:rsidR="00F03929" w:rsidRPr="00B8466C" w:rsidRDefault="00F03929">
      <w:pPr>
        <w:rPr>
          <w:b/>
        </w:rPr>
      </w:pPr>
      <w:r w:rsidRPr="00B8466C">
        <w:rPr>
          <w:b/>
        </w:rPr>
        <w:t>Processing of .fastq files with the NGS pipeline</w:t>
      </w:r>
    </w:p>
    <w:p w14:paraId="0E114392" w14:textId="77777777" w:rsidR="00F03929" w:rsidRDefault="00F03929"/>
    <w:p w14:paraId="4572A6B9" w14:textId="3C5F204F" w:rsidR="00F95BBA" w:rsidRDefault="00F95BBA">
      <w:r>
        <w:t xml:space="preserve">New Crispr screens may be </w:t>
      </w:r>
      <w:r w:rsidR="001F3647">
        <w:t xml:space="preserve">aligned </w:t>
      </w:r>
      <w:r>
        <w:t xml:space="preserve">automatically through the ExpressionPlot control panel: </w:t>
      </w:r>
    </w:p>
    <w:p w14:paraId="056C8CCF" w14:textId="77777777" w:rsidR="00F95BBA" w:rsidRDefault="00F95BBA"/>
    <w:p w14:paraId="1513DCD3" w14:textId="6B8BA4EE" w:rsidR="00F95BBA" w:rsidRDefault="00F95BBA">
      <w:r w:rsidRPr="00F95BBA">
        <w:t>http://research.gene.com/expressionplot/controlpanel/</w:t>
      </w:r>
    </w:p>
    <w:p w14:paraId="51EB7723" w14:textId="77777777" w:rsidR="00F95BBA" w:rsidRDefault="00F95BBA"/>
    <w:p w14:paraId="65A3A258" w14:textId="5C274E49" w:rsidR="00B8466C" w:rsidRDefault="00F95BBA">
      <w:r>
        <w:t xml:space="preserve">Be sure to specifically indicate the NGS number (e.g., “NGSXXX”), the proper library and viral construct (most Crispr screens use pLKO) and the proper species parameter. </w:t>
      </w:r>
      <w:r w:rsidR="0044772B">
        <w:t>If an experiment must be resubmitted to the pipeline for some reason (e.g., wrong annotation used, raw file loss or cor</w:t>
      </w:r>
      <w:r w:rsidR="001D064F">
        <w:t>ruption, etc.), the library WILL NOT BE REALIGNED before the existing alignments are purged from rescomp. C</w:t>
      </w:r>
      <w:r w:rsidR="0044772B">
        <w:t xml:space="preserve">ontact Kiran </w:t>
      </w:r>
      <w:r w:rsidR="001D064F">
        <w:t>Mukh</w:t>
      </w:r>
      <w:r w:rsidR="002966E1">
        <w:t>y</w:t>
      </w:r>
      <w:r w:rsidR="001D064F">
        <w:t>a</w:t>
      </w:r>
      <w:r w:rsidR="002966E1">
        <w:t>la (</w:t>
      </w:r>
      <w:r w:rsidR="001D064F" w:rsidRPr="001D064F">
        <w:t>mukhyala</w:t>
      </w:r>
      <w:r w:rsidR="00D62DEC">
        <w:t>.kiran</w:t>
      </w:r>
      <w:r w:rsidR="001D064F" w:rsidRPr="001D064F">
        <w:t>@gene.com</w:t>
      </w:r>
      <w:r w:rsidR="002966E1">
        <w:t xml:space="preserve">) </w:t>
      </w:r>
      <w:r w:rsidR="0044772B">
        <w:t>or Russ</w:t>
      </w:r>
      <w:r w:rsidR="002966E1">
        <w:t xml:space="preserve"> Bainer (bainer</w:t>
      </w:r>
      <w:r w:rsidR="00D62DEC">
        <w:t>.russell</w:t>
      </w:r>
      <w:r w:rsidR="002966E1">
        <w:t>@gene.com)</w:t>
      </w:r>
      <w:r w:rsidR="0044772B">
        <w:t xml:space="preserve"> for help. </w:t>
      </w:r>
    </w:p>
    <w:p w14:paraId="519808F9" w14:textId="77777777" w:rsidR="00B8466C" w:rsidRDefault="00B8466C"/>
    <w:p w14:paraId="475A01B2" w14:textId="77777777" w:rsidR="00F03929" w:rsidRPr="00B8466C" w:rsidRDefault="00F03929">
      <w:pPr>
        <w:rPr>
          <w:b/>
        </w:rPr>
      </w:pPr>
      <w:r w:rsidRPr="00B8466C">
        <w:rPr>
          <w:b/>
        </w:rPr>
        <w:t>Data Quality</w:t>
      </w:r>
    </w:p>
    <w:p w14:paraId="62FFD258" w14:textId="77777777" w:rsidR="00F03929" w:rsidRDefault="00F03929"/>
    <w:p w14:paraId="460D035D" w14:textId="3D2B3E70" w:rsidR="0044772B" w:rsidRDefault="0044772B">
      <w:r>
        <w:t xml:space="preserve">After the raw files have been processed, inspect experiment-level data quality using the following metrics: </w:t>
      </w:r>
    </w:p>
    <w:p w14:paraId="1DD8E2E9" w14:textId="26B381B4" w:rsidR="0044772B" w:rsidRDefault="0044772B" w:rsidP="0044772B">
      <w:pPr>
        <w:pStyle w:val="ListParagraph"/>
        <w:numPr>
          <w:ilvl w:val="0"/>
          <w:numId w:val="1"/>
        </w:numPr>
      </w:pPr>
      <w:r w:rsidRPr="00131CA3">
        <w:rPr>
          <w:i/>
        </w:rPr>
        <w:t>Read Coverage</w:t>
      </w:r>
      <w:r>
        <w:t xml:space="preserve">: Ensure that each library is has been sequenced at sufficient depth, based on the library size and desired median coverage. </w:t>
      </w:r>
      <w:r w:rsidR="009F0CC8">
        <w:t xml:space="preserve">In a paired-end experiment, more than 80% of the reads </w:t>
      </w:r>
      <w:r w:rsidR="001F3647">
        <w:t xml:space="preserve">should </w:t>
      </w:r>
      <w:r w:rsidR="009F0CC8">
        <w:t xml:space="preserve">contain a “target” (gRNA) sequence; more than 40% of reads in a single-end </w:t>
      </w:r>
      <w:r w:rsidR="00D62DEC">
        <w:t xml:space="preserve">sequenced </w:t>
      </w:r>
      <w:r w:rsidR="009F0CC8">
        <w:t>experiment should contain target</w:t>
      </w:r>
      <w:r w:rsidR="00D62DEC">
        <w:t xml:space="preserve"> sequences</w:t>
      </w:r>
      <w:r w:rsidR="009F0CC8">
        <w:t>. Ideally, each library will be sequenced at similar depth; large amounts of variation in the total sequencing depth within an experiment may be due to library</w:t>
      </w:r>
      <w:r w:rsidR="001F3647">
        <w:t xml:space="preserve"> generation</w:t>
      </w:r>
      <w:r w:rsidR="009F0CC8">
        <w:t xml:space="preserve"> or flowcell effects, both of which are associated with greater variability. </w:t>
      </w:r>
    </w:p>
    <w:p w14:paraId="62C25C2E" w14:textId="4F8394E1" w:rsidR="009F0CC8" w:rsidRDefault="009F0CC8" w:rsidP="0044772B">
      <w:pPr>
        <w:pStyle w:val="ListParagraph"/>
        <w:numPr>
          <w:ilvl w:val="0"/>
          <w:numId w:val="1"/>
        </w:numPr>
      </w:pPr>
      <w:r w:rsidRPr="00131CA3">
        <w:rPr>
          <w:i/>
        </w:rPr>
        <w:t>Replicate Structure</w:t>
      </w:r>
      <w:r>
        <w:t>: Use correlation heatmaps and nonparametric PCA to verify that replicates are well correlated (Spearman’s Pairwise Rho</w:t>
      </w:r>
      <w:r w:rsidR="001B4224">
        <w:t xml:space="preserve"> ~0.8</w:t>
      </w:r>
      <w:r>
        <w:t xml:space="preserve">) and that </w:t>
      </w:r>
      <w:r w:rsidR="001B4224">
        <w:t xml:space="preserve">the majority of the </w:t>
      </w:r>
      <w:r w:rsidR="00D62DEC">
        <w:t xml:space="preserve">observed </w:t>
      </w:r>
      <w:r w:rsidR="001B4224">
        <w:t xml:space="preserve">variance correlates with experimental variables. </w:t>
      </w:r>
      <w:r w:rsidR="002966E1">
        <w:t xml:space="preserve">Note that </w:t>
      </w:r>
      <w:r w:rsidR="00E06484">
        <w:t xml:space="preserve">weaker correlation is often observed in the treated samples of a screen </w:t>
      </w:r>
      <w:r w:rsidR="002966E1">
        <w:t>in which negative selection is extremely strong (e.g., a TNF</w:t>
      </w:r>
      <w:r w:rsidR="002966E1">
        <w:rPr>
          <w:rFonts w:ascii="Cambria" w:hAnsi="Cambria"/>
        </w:rPr>
        <w:t>α</w:t>
      </w:r>
      <w:r w:rsidR="00E06484">
        <w:rPr>
          <w:rFonts w:ascii="Cambria" w:hAnsi="Cambria"/>
        </w:rPr>
        <w:t xml:space="preserve"> screen</w:t>
      </w:r>
      <w:r w:rsidR="002966E1">
        <w:t>)</w:t>
      </w:r>
      <w:r w:rsidR="00E06484">
        <w:t>; this is typical and should not influence downstream analyses.</w:t>
      </w:r>
    </w:p>
    <w:p w14:paraId="509D0DBA" w14:textId="65F5801B" w:rsidR="00B8466C" w:rsidRDefault="001B4224" w:rsidP="00E06484">
      <w:pPr>
        <w:pStyle w:val="ListParagraph"/>
        <w:numPr>
          <w:ilvl w:val="0"/>
          <w:numId w:val="1"/>
        </w:numPr>
      </w:pPr>
      <w:r w:rsidRPr="00131CA3">
        <w:rPr>
          <w:i/>
        </w:rPr>
        <w:t xml:space="preserve">gRNA </w:t>
      </w:r>
      <w:r w:rsidR="00131CA3" w:rsidRPr="00131CA3">
        <w:rPr>
          <w:i/>
        </w:rPr>
        <w:t>Detection</w:t>
      </w:r>
      <w:r>
        <w:t xml:space="preserve">: </w:t>
      </w:r>
      <w:r w:rsidR="00131CA3">
        <w:t xml:space="preserve">Most of the gRNAs included in the library should be detected in the </w:t>
      </w:r>
      <w:r w:rsidR="00D62DEC">
        <w:t xml:space="preserve">untreated experimental samples </w:t>
      </w:r>
      <w:r w:rsidR="00131CA3">
        <w:t xml:space="preserve">(&gt; 30 reads).  Loss of a significant proportion of the guides could be evidence of a bad infection step. </w:t>
      </w:r>
    </w:p>
    <w:p w14:paraId="3424672C" w14:textId="77777777" w:rsidR="00B8466C" w:rsidRDefault="00B8466C"/>
    <w:p w14:paraId="0E8875DC" w14:textId="1A41DCFC" w:rsidR="00F03929" w:rsidRPr="00B8466C" w:rsidRDefault="00F03929">
      <w:pPr>
        <w:rPr>
          <w:b/>
        </w:rPr>
      </w:pPr>
      <w:r w:rsidRPr="00B8466C">
        <w:rPr>
          <w:b/>
        </w:rPr>
        <w:t>Identific</w:t>
      </w:r>
      <w:r w:rsidR="00FC4034">
        <w:rPr>
          <w:b/>
        </w:rPr>
        <w:t>ation of Differential gRNA Abundance</w:t>
      </w:r>
    </w:p>
    <w:p w14:paraId="241E2C79" w14:textId="77777777" w:rsidR="00F03929" w:rsidRDefault="00F03929"/>
    <w:p w14:paraId="587E8EEE" w14:textId="0BBD3258" w:rsidR="001F3647" w:rsidRDefault="003D55B1">
      <w:r>
        <w:t xml:space="preserve">Differentially abundant gRNAs can be identified using methods similar to those employed in other sequencing-based experiments. </w:t>
      </w:r>
      <w:r w:rsidR="00A9600D">
        <w:t xml:space="preserve">We currently recommend that analysts use Voom/Limma to identify gRNAs of interest, as the p-values </w:t>
      </w:r>
      <w:r w:rsidR="00040691">
        <w:t xml:space="preserve">and effect estimates </w:t>
      </w:r>
      <w:r w:rsidR="00A9600D">
        <w:t>appear to be somewhat more stable</w:t>
      </w:r>
      <w:r w:rsidR="00FD04F0">
        <w:t xml:space="preserve"> than those observed in count-based tests</w:t>
      </w:r>
      <w:r w:rsidR="00040691">
        <w:t xml:space="preserve">. </w:t>
      </w:r>
      <w:r w:rsidR="00FD04F0">
        <w:t>T</w:t>
      </w:r>
      <w:r w:rsidR="00A9600D">
        <w:t>he Voom</w:t>
      </w:r>
      <w:r w:rsidR="00FD04F0">
        <w:t>-</w:t>
      </w:r>
      <w:r w:rsidR="00A9600D">
        <w:t>transformed abundance estimates may be readily normalized with secondary methods should the analyst choose to do so (see below).</w:t>
      </w:r>
      <w:r w:rsidR="00040691">
        <w:t xml:space="preserve"> </w:t>
      </w:r>
      <w:r w:rsidR="001F3647">
        <w:t xml:space="preserve">It is a good idea to remove gRNAs with extremely low </w:t>
      </w:r>
      <w:r w:rsidR="001F3647" w:rsidRPr="00E06484">
        <w:rPr>
          <w:i/>
        </w:rPr>
        <w:t xml:space="preserve">initial </w:t>
      </w:r>
      <w:r w:rsidR="001F3647">
        <w:t>counts (</w:t>
      </w:r>
      <w:r w:rsidR="00FD04F0">
        <w:t xml:space="preserve">e.g., </w:t>
      </w:r>
      <w:r w:rsidR="001F3647">
        <w:t>&lt; 30</w:t>
      </w:r>
      <w:r w:rsidR="00FD04F0">
        <w:t xml:space="preserve"> reads in the control samples</w:t>
      </w:r>
      <w:r w:rsidR="001F3647">
        <w:t xml:space="preserve">) from consideration in dropout screens; this is less of an issue in selection screens. </w:t>
      </w:r>
    </w:p>
    <w:p w14:paraId="0A4EC4E6" w14:textId="5BB3097E" w:rsidR="00040691" w:rsidRDefault="00040691">
      <w:r>
        <w:tab/>
        <w:t xml:space="preserve">In most cases it is desirable to use directional tests when comparing gRNA abundances. This is because a guide set in which all of the gRNAs are strongly depleted is likely a promising candidate in a dropout screen, but a guide set in which half of the gRNAs are strongly depleted and half are strongly enriched is more difficult to interpret and probably should not be prioritized as a top candidate. </w:t>
      </w:r>
      <w:r w:rsidR="003A67C4">
        <w:t xml:space="preserve">Analysts should therefore use the </w:t>
      </w:r>
      <w:r w:rsidR="00A3704E">
        <w:rPr>
          <w:rFonts w:ascii="Courier" w:hAnsi="Courier"/>
          <w:sz w:val="20"/>
        </w:rPr>
        <w:t>ct</w:t>
      </w:r>
      <w:r w:rsidRPr="003A67C4">
        <w:rPr>
          <w:rFonts w:ascii="Courier" w:hAnsi="Courier"/>
          <w:sz w:val="20"/>
        </w:rPr>
        <w:t>.DirectionalTests()</w:t>
      </w:r>
      <w:r w:rsidR="003A67C4" w:rsidRPr="003A67C4">
        <w:rPr>
          <w:sz w:val="20"/>
        </w:rPr>
        <w:t xml:space="preserve"> </w:t>
      </w:r>
      <w:r w:rsidR="003A67C4">
        <w:t xml:space="preserve">function provided within the </w:t>
      </w:r>
      <w:r w:rsidR="003A67C4" w:rsidRPr="003A67C4">
        <w:rPr>
          <w:rFonts w:ascii="Courier" w:hAnsi="Courier"/>
          <w:sz w:val="20"/>
        </w:rPr>
        <w:t>gCrisprTools</w:t>
      </w:r>
      <w:r w:rsidR="003A67C4">
        <w:t xml:space="preserve"> package to extract sided P-values from the </w:t>
      </w:r>
      <w:r w:rsidR="00FD04F0">
        <w:t xml:space="preserve">fit </w:t>
      </w:r>
      <w:r w:rsidR="002161AB">
        <w:t xml:space="preserve">object returned from eBayes, or simply generate their own P-values by comparing the corresponding t-statistics to the appropriate tailed distribution. </w:t>
      </w:r>
    </w:p>
    <w:p w14:paraId="1C02B8D4" w14:textId="77777777" w:rsidR="00E06484" w:rsidRDefault="00E06484"/>
    <w:p w14:paraId="2F795E0E" w14:textId="0039FD5C" w:rsidR="00E06484" w:rsidRPr="007C08F5" w:rsidRDefault="00E06484">
      <w:pPr>
        <w:rPr>
          <w:b/>
        </w:rPr>
      </w:pPr>
      <w:r w:rsidRPr="007C08F5">
        <w:rPr>
          <w:b/>
        </w:rPr>
        <w:t>Analytical Pipeline</w:t>
      </w:r>
    </w:p>
    <w:p w14:paraId="5E1A0C09" w14:textId="77777777" w:rsidR="00E06484" w:rsidRDefault="00E06484"/>
    <w:p w14:paraId="489E3F2B" w14:textId="6A8BDE4D" w:rsidR="001620C8" w:rsidRDefault="00E06484">
      <w:r>
        <w:t xml:space="preserve">An example R script detailing the implementation of the current Crispr screen pipeline is provided in the vignettes folder of the </w:t>
      </w:r>
      <w:r w:rsidRPr="00E06484">
        <w:rPr>
          <w:rFonts w:ascii="Courier" w:hAnsi="Courier" w:cs="Courier New"/>
          <w:sz w:val="20"/>
          <w:szCs w:val="20"/>
        </w:rPr>
        <w:t>gCrisprTools</w:t>
      </w:r>
      <w:r>
        <w:t xml:space="preserve"> package. The overall analysis is accomplished by opt</w:t>
      </w:r>
      <w:r w:rsidR="0077211C">
        <w:t xml:space="preserve">ionally </w:t>
      </w:r>
      <w:r w:rsidR="00BE42EE">
        <w:t>applyi</w:t>
      </w:r>
      <w:r w:rsidR="0077211C">
        <w:t xml:space="preserve">ng additional normalization to the raw read counts, </w:t>
      </w:r>
      <w:r>
        <w:t xml:space="preserve">fitting an appropriate linear model via voom/limma in the usual way, and then postprocessing the resulting fit object with </w:t>
      </w:r>
      <w:r w:rsidR="00EF0AB6" w:rsidRPr="00EF0AB6">
        <w:rPr>
          <w:rFonts w:ascii="Courier" w:hAnsi="Courier"/>
          <w:sz w:val="20"/>
          <w:szCs w:val="20"/>
        </w:rPr>
        <w:t>ct.generateResults()</w:t>
      </w:r>
      <w:r w:rsidR="00EF0AB6">
        <w:t xml:space="preserve">, a wrapper function for </w:t>
      </w:r>
      <w:r>
        <w:t>a series of algorithms that</w:t>
      </w:r>
      <w:r w:rsidR="007C08F5">
        <w:t xml:space="preserve"> process,</w:t>
      </w:r>
      <w:r>
        <w:t xml:space="preserve"> </w:t>
      </w:r>
      <w:r w:rsidR="0077211C">
        <w:t>annotate</w:t>
      </w:r>
      <w:r w:rsidR="007C08F5">
        <w:t>,</w:t>
      </w:r>
      <w:r w:rsidR="0077211C">
        <w:t xml:space="preserve"> and summarize these gRNA-level estimates into gene-level </w:t>
      </w:r>
      <w:r w:rsidR="00EF0AB6">
        <w:t>enrichment and depletion statistics</w:t>
      </w:r>
      <w:r w:rsidR="0077211C">
        <w:t xml:space="preserve">. </w:t>
      </w:r>
      <w:r w:rsidR="007C08F5">
        <w:t>This approach enables the analyst to take advantage of the generalized linear modeling framework in experiments with co</w:t>
      </w:r>
      <w:r w:rsidR="00EF0AB6">
        <w:t xml:space="preserve">mplex experimental designs, while conveniently summarizing the data into readily interpretable gene-level estimates. </w:t>
      </w:r>
      <w:r w:rsidR="002A7DC8">
        <w:t xml:space="preserve">See below for specific details about the guide-level summarization technique used. </w:t>
      </w:r>
    </w:p>
    <w:p w14:paraId="42DDDC05" w14:textId="03A86101" w:rsidR="00C876C6" w:rsidRDefault="00C876C6">
      <w:r>
        <w:tab/>
        <w:t xml:space="preserve">Following pipeline analysis the top gene candidates may be visualized with </w:t>
      </w:r>
      <w:r w:rsidRPr="00C876C6">
        <w:rPr>
          <w:rFonts w:ascii="Courier" w:hAnsi="Courier"/>
          <w:sz w:val="20"/>
          <w:szCs w:val="20"/>
        </w:rPr>
        <w:t>ct.topTargets()</w:t>
      </w:r>
      <w:r>
        <w:t xml:space="preserve"> or optionally </w:t>
      </w:r>
      <w:r w:rsidRPr="00DC238A">
        <w:rPr>
          <w:rFonts w:ascii="Courier" w:hAnsi="Courier"/>
          <w:sz w:val="20"/>
          <w:szCs w:val="20"/>
        </w:rPr>
        <w:t>ct.stackGuides()</w:t>
      </w:r>
      <w:r>
        <w:rPr>
          <w:rFonts w:ascii="Courier" w:hAnsi="Courier"/>
          <w:sz w:val="20"/>
          <w:szCs w:val="20"/>
        </w:rPr>
        <w:t xml:space="preserve"> </w:t>
      </w:r>
      <w:r>
        <w:t xml:space="preserve">as appropriate. Individual gRNA behavior within genes of interest and contextualization within the gRNA distribution can be achieved via </w:t>
      </w:r>
      <w:r w:rsidR="00B676D0" w:rsidRPr="00B676D0">
        <w:rPr>
          <w:rFonts w:ascii="Courier" w:hAnsi="Courier"/>
          <w:sz w:val="20"/>
          <w:szCs w:val="20"/>
        </w:rPr>
        <w:t>ct.viewGuides()</w:t>
      </w:r>
      <w:r w:rsidR="00B676D0">
        <w:t>.</w:t>
      </w:r>
    </w:p>
    <w:p w14:paraId="7C440E2D" w14:textId="77777777" w:rsidR="002A7DC8" w:rsidRDefault="002A7DC8"/>
    <w:p w14:paraId="75006C48" w14:textId="77777777" w:rsidR="0077211C" w:rsidRDefault="0077211C"/>
    <w:p w14:paraId="79EA2F22" w14:textId="426E139D" w:rsidR="001620C8" w:rsidRPr="001620C8" w:rsidRDefault="0077211C">
      <w:pPr>
        <w:rPr>
          <w:b/>
        </w:rPr>
      </w:pPr>
      <w:r>
        <w:rPr>
          <w:b/>
        </w:rPr>
        <w:t>MAGeCK</w:t>
      </w:r>
    </w:p>
    <w:p w14:paraId="281F1560" w14:textId="77777777" w:rsidR="001620C8" w:rsidRDefault="001620C8"/>
    <w:p w14:paraId="1CEDE50D" w14:textId="66A35C5A" w:rsidR="00C2161E" w:rsidRDefault="001620C8" w:rsidP="00E87A1D">
      <w:r>
        <w:t>In experiments with only two relevant experimental conditions, analysts may opt to use MAGeCK, an analysis tool develo</w:t>
      </w:r>
      <w:r w:rsidR="00623115">
        <w:t>ped by Shirley Liu’s group (</w:t>
      </w:r>
      <w:hyperlink r:id="rId6" w:history="1">
        <w:r w:rsidR="00623115" w:rsidRPr="00902629">
          <w:rPr>
            <w:rStyle w:val="Hyperlink"/>
          </w:rPr>
          <w:t>http://www.genomebiology.com/2014/15/12/554</w:t>
        </w:r>
      </w:hyperlink>
      <w:r w:rsidR="00623115">
        <w:t>). Briefly, MAGeCK identifies differentially abundant gRNAs in a manner similar to the original DEseq algorithm</w:t>
      </w:r>
      <w:r w:rsidR="00B81176">
        <w:t xml:space="preserve"> (as opposed to voom/limma in the current Genentech pipeline)</w:t>
      </w:r>
      <w:r w:rsidR="00623115">
        <w:t xml:space="preserve">, and aggregates </w:t>
      </w:r>
      <w:r w:rsidR="00E87A1D">
        <w:t>the</w:t>
      </w:r>
      <w:r w:rsidR="00623115">
        <w:t xml:space="preserve"> </w:t>
      </w:r>
      <w:r w:rsidR="00E87A1D">
        <w:t xml:space="preserve">one-sided </w:t>
      </w:r>
      <w:r w:rsidR="00623115">
        <w:t>p-values using RRA</w:t>
      </w:r>
      <w:r w:rsidR="00623115">
        <w:rPr>
          <w:rFonts w:ascii="Cambria" w:hAnsi="Cambria"/>
        </w:rPr>
        <w:t>α</w:t>
      </w:r>
      <w:r w:rsidR="00E87A1D">
        <w:rPr>
          <w:rFonts w:ascii="Cambria" w:hAnsi="Cambria"/>
        </w:rPr>
        <w:t xml:space="preserve">, described below. This option is mainly appealing in </w:t>
      </w:r>
      <w:r w:rsidR="002A7DC8">
        <w:rPr>
          <w:rFonts w:ascii="Cambria" w:hAnsi="Cambria"/>
        </w:rPr>
        <w:t xml:space="preserve">rare </w:t>
      </w:r>
      <w:r w:rsidR="00E87A1D">
        <w:rPr>
          <w:rFonts w:ascii="Cambria" w:hAnsi="Cambria"/>
        </w:rPr>
        <w:t>cases where more complex modeling approaches are not possible</w:t>
      </w:r>
      <w:r w:rsidR="002A7DC8">
        <w:rPr>
          <w:rFonts w:ascii="Cambria" w:hAnsi="Cambria"/>
        </w:rPr>
        <w:t xml:space="preserve"> and where the strict ordering of top gRNA candidates is both important and difficult to discern. </w:t>
      </w:r>
      <w:r w:rsidR="002A7DC8">
        <w:t xml:space="preserve">This approach is not strictly supported as part of the </w:t>
      </w:r>
      <w:r w:rsidR="002A7DC8" w:rsidRPr="002A7DC8">
        <w:rPr>
          <w:rFonts w:ascii="Courier" w:hAnsi="Courier"/>
          <w:sz w:val="20"/>
          <w:szCs w:val="20"/>
        </w:rPr>
        <w:t>gCrisprTools</w:t>
      </w:r>
      <w:r w:rsidR="002A7DC8">
        <w:t xml:space="preserve"> package as the approach is broadly similar to the Genentech pipeline in two-sample experiments. </w:t>
      </w:r>
    </w:p>
    <w:p w14:paraId="369C6D33" w14:textId="606C7881" w:rsidR="00EA36F3" w:rsidRDefault="00EA36F3" w:rsidP="00E87A1D">
      <w:r>
        <w:tab/>
        <w:t xml:space="preserve">More explicitly, the standard approach employed by gCrisprTools deviates from the current release of the MAGeCK software in the following ways: </w:t>
      </w:r>
    </w:p>
    <w:p w14:paraId="1C9B55DC" w14:textId="53473A25" w:rsidR="00D52D45" w:rsidRDefault="00571129" w:rsidP="00571129">
      <w:pPr>
        <w:pStyle w:val="ListParagraph"/>
        <w:numPr>
          <w:ilvl w:val="0"/>
          <w:numId w:val="2"/>
        </w:numPr>
      </w:pPr>
      <w:r>
        <w:t>gRNAs that are lowly abundant in the control samples are omitted from subsequent analysis</w:t>
      </w:r>
      <w:r w:rsidR="00D52D45">
        <w:t xml:space="preserve">. This makes the algorithm more robust to contaminants and variation in gRNAs whose abundance is not likely to be well estimated. </w:t>
      </w:r>
    </w:p>
    <w:p w14:paraId="2D2A5F31" w14:textId="45E76B0D" w:rsidR="00571129" w:rsidRPr="00571129" w:rsidRDefault="00571129" w:rsidP="00571129">
      <w:pPr>
        <w:pStyle w:val="ListParagraph"/>
        <w:numPr>
          <w:ilvl w:val="0"/>
          <w:numId w:val="2"/>
        </w:numPr>
      </w:pPr>
      <w:r w:rsidRPr="00571129">
        <w:t>Differentially abundant gRNAs are identified using the voom/limma framework rather than a counts-based method</w:t>
      </w:r>
      <w:r>
        <w:t xml:space="preserve">, enabling more complex linear modeling of experiments where </w:t>
      </w:r>
      <w:r w:rsidR="0019188D">
        <w:t xml:space="preserve">replicate structure is complex and where </w:t>
      </w:r>
      <w:r>
        <w:t>multiple experimental variables are relevant</w:t>
      </w:r>
      <w:r w:rsidR="0019188D">
        <w:t xml:space="preserve">. It should be noted that </w:t>
      </w:r>
      <w:r w:rsidR="00787F25">
        <w:t xml:space="preserve">MAGeCK has recently implemented an mle-based approach to try to deal with </w:t>
      </w:r>
      <w:r w:rsidR="0019188D">
        <w:t>some of these issues</w:t>
      </w:r>
      <w:r w:rsidR="00787F25">
        <w:t xml:space="preserve">, but </w:t>
      </w:r>
      <w:r w:rsidR="0019188D">
        <w:t xml:space="preserve">a statistical treatment of this method is not available and </w:t>
      </w:r>
      <w:r w:rsidR="00787F25">
        <w:t>it h</w:t>
      </w:r>
      <w:r w:rsidR="0019188D">
        <w:t>as been reported to be unstable by the user community</w:t>
      </w:r>
      <w:r w:rsidR="00D52D45">
        <w:t>.</w:t>
      </w:r>
      <w:r w:rsidR="0019188D">
        <w:t xml:space="preserve"> </w:t>
      </w:r>
    </w:p>
    <w:p w14:paraId="0A3336A1" w14:textId="7B7257ED" w:rsidR="00571129" w:rsidRDefault="005B23AB" w:rsidP="00571129">
      <w:pPr>
        <w:pStyle w:val="ListParagraph"/>
        <w:numPr>
          <w:ilvl w:val="0"/>
          <w:numId w:val="2"/>
        </w:numPr>
      </w:pPr>
      <w:r>
        <w:t>In the RRA</w:t>
      </w:r>
      <w:r w:rsidRPr="005B23AB">
        <w:rPr>
          <w:rFonts w:ascii="Cambria" w:hAnsi="Cambria"/>
        </w:rPr>
        <w:t>α framework gRNA signals are aggregated into gene-level scores based on their ranking within the experiment, and a</w:t>
      </w:r>
      <w:r w:rsidR="00D52D45">
        <w:rPr>
          <w:rFonts w:ascii="Cambria" w:hAnsi="Cambria"/>
        </w:rPr>
        <w:t>n α</w:t>
      </w:r>
      <w:r w:rsidRPr="005B23AB">
        <w:rPr>
          <w:rFonts w:ascii="Cambria" w:hAnsi="Cambria"/>
        </w:rPr>
        <w:t xml:space="preserve"> cutoff that determines the rank at which gRNAs are no longer differentially abundant. </w:t>
      </w:r>
      <w:r>
        <w:t xml:space="preserve">MAGeCK uses the gRNA nominal P-values to determine both the </w:t>
      </w:r>
      <w:r w:rsidR="00D52D45">
        <w:t xml:space="preserve">gRNA </w:t>
      </w:r>
      <w:r>
        <w:t xml:space="preserve">rankings and the appropriate </w:t>
      </w:r>
      <w:r>
        <w:rPr>
          <w:rFonts w:ascii="Cambria" w:hAnsi="Cambria"/>
        </w:rPr>
        <w:t>α</w:t>
      </w:r>
      <w:r>
        <w:t xml:space="preserve"> cutoff.</w:t>
      </w:r>
      <w:r w:rsidR="00D52D45">
        <w:t xml:space="preserve"> In our experience the gRNA P-value ranks can be unstable in Crispr screens, and so we rank the gRNAs by their estimated fold change within the experiment, using the P-values only to disqualify guides on the basis of the specified </w:t>
      </w:r>
      <w:r w:rsidR="00D52D45">
        <w:rPr>
          <w:rFonts w:ascii="Cambria" w:hAnsi="Cambria"/>
        </w:rPr>
        <w:t>α</w:t>
      </w:r>
      <w:r w:rsidR="00D52D45">
        <w:t xml:space="preserve">. </w:t>
      </w:r>
      <w:r>
        <w:t xml:space="preserve"> </w:t>
      </w:r>
    </w:p>
    <w:p w14:paraId="1EF0AB79" w14:textId="77777777" w:rsidR="00571129" w:rsidRDefault="00571129" w:rsidP="00571129"/>
    <w:p w14:paraId="57E51CB8" w14:textId="5A633E43" w:rsidR="009D63D4" w:rsidRPr="00EC0919" w:rsidRDefault="009D63D4" w:rsidP="00571129">
      <w:pPr>
        <w:rPr>
          <w:rFonts w:ascii="Cambria" w:hAnsi="Cambria"/>
          <w:b/>
        </w:rPr>
      </w:pPr>
      <w:r w:rsidRPr="00EC0919">
        <w:rPr>
          <w:b/>
        </w:rPr>
        <w:t>Does RRA</w:t>
      </w:r>
      <w:r w:rsidRPr="00EC0919">
        <w:rPr>
          <w:rFonts w:ascii="Cambria" w:hAnsi="Cambria"/>
          <w:b/>
        </w:rPr>
        <w:t xml:space="preserve">α Generate P-values? </w:t>
      </w:r>
    </w:p>
    <w:p w14:paraId="0B8BA3B3" w14:textId="1A3860D5" w:rsidR="009D63D4" w:rsidRDefault="009D63D4" w:rsidP="00571129">
      <w:r>
        <w:t>RRA</w:t>
      </w:r>
      <w:r>
        <w:rPr>
          <w:rFonts w:ascii="Cambria" w:hAnsi="Cambria"/>
        </w:rPr>
        <w:t xml:space="preserve">α aggregation generates empirical P-value-like statistics for each </w:t>
      </w:r>
      <w:r w:rsidR="007D642A">
        <w:rPr>
          <w:rFonts w:ascii="Cambria" w:hAnsi="Cambria"/>
        </w:rPr>
        <w:t>target that</w:t>
      </w:r>
      <w:r w:rsidR="009E2C1C">
        <w:rPr>
          <w:rFonts w:ascii="Cambria" w:hAnsi="Cambria"/>
        </w:rPr>
        <w:t xml:space="preserve"> do not typically follow a uniform distribution. This is due to the fact that RRA</w:t>
      </w:r>
      <w:r w:rsidR="00EC0919">
        <w:rPr>
          <w:rFonts w:ascii="Cambria" w:hAnsi="Cambria"/>
        </w:rPr>
        <w:t>α</w:t>
      </w:r>
      <w:r w:rsidR="009E2C1C">
        <w:rPr>
          <w:rFonts w:ascii="Cambria" w:hAnsi="Cambria"/>
        </w:rPr>
        <w:t xml:space="preserve"> </w:t>
      </w:r>
      <w:r w:rsidR="007D642A">
        <w:rPr>
          <w:rFonts w:ascii="Cambria" w:hAnsi="Cambria"/>
        </w:rPr>
        <w:t xml:space="preserve">typically </w:t>
      </w:r>
      <w:r w:rsidR="009E2C1C">
        <w:rPr>
          <w:rFonts w:ascii="Cambria" w:hAnsi="Cambria"/>
        </w:rPr>
        <w:t xml:space="preserve">disqualifies </w:t>
      </w:r>
      <w:r w:rsidR="007D642A">
        <w:rPr>
          <w:rFonts w:ascii="Cambria" w:hAnsi="Cambria"/>
        </w:rPr>
        <w:t xml:space="preserve">a large portion of </w:t>
      </w:r>
      <w:r w:rsidR="00EC0919">
        <w:rPr>
          <w:rFonts w:ascii="Cambria" w:hAnsi="Cambria"/>
        </w:rPr>
        <w:t>gRNAs outrigh</w:t>
      </w:r>
      <w:r w:rsidR="007D642A">
        <w:rPr>
          <w:rFonts w:ascii="Cambria" w:hAnsi="Cambria"/>
        </w:rPr>
        <w:t xml:space="preserve">t because they fail to meet the α threshold, and targets </w:t>
      </w:r>
      <w:r w:rsidR="00E3072D">
        <w:rPr>
          <w:rFonts w:ascii="Cambria" w:hAnsi="Cambria"/>
        </w:rPr>
        <w:t>for w</w:t>
      </w:r>
      <w:r w:rsidR="007D642A">
        <w:rPr>
          <w:rFonts w:ascii="Cambria" w:hAnsi="Cambria"/>
        </w:rPr>
        <w:t xml:space="preserve">hich all corresponding gRNAs are disqualified are assigned a P-value of 1 by construction. </w:t>
      </w:r>
      <w:r w:rsidR="00E3072D">
        <w:rPr>
          <w:rFonts w:ascii="Cambria" w:hAnsi="Cambria"/>
        </w:rPr>
        <w:t xml:space="preserve">Depending on the dynamics of the screen and the effect of normalization it’s not unusual to see half or more of all targets compelled in this manner. </w:t>
      </w:r>
      <w:r w:rsidR="00FB105C">
        <w:rPr>
          <w:rFonts w:ascii="Cambria" w:hAnsi="Cambria"/>
        </w:rPr>
        <w:t xml:space="preserve">Those </w:t>
      </w:r>
      <w:r w:rsidR="00A501DA">
        <w:rPr>
          <w:rFonts w:ascii="Cambria" w:hAnsi="Cambria"/>
        </w:rPr>
        <w:t>scores</w:t>
      </w:r>
      <w:r w:rsidR="00FB105C">
        <w:rPr>
          <w:rFonts w:ascii="Cambria" w:hAnsi="Cambria"/>
        </w:rPr>
        <w:t xml:space="preserve"> that are</w:t>
      </w:r>
      <w:r w:rsidR="00A501DA">
        <w:rPr>
          <w:rFonts w:ascii="Cambria" w:hAnsi="Cambria"/>
        </w:rPr>
        <w:t xml:space="preserve"> returned appear to behave as typical P-values, however. </w:t>
      </w:r>
    </w:p>
    <w:p w14:paraId="0713D03D" w14:textId="77777777" w:rsidR="009D63D4" w:rsidRDefault="009D63D4" w:rsidP="00571129"/>
    <w:p w14:paraId="629BA7D4" w14:textId="11EEFFAD" w:rsidR="00040691" w:rsidRPr="00571129" w:rsidRDefault="00040691" w:rsidP="00040691">
      <w:pPr>
        <w:rPr>
          <w:b/>
        </w:rPr>
      </w:pPr>
      <w:r w:rsidRPr="00571129">
        <w:rPr>
          <w:b/>
        </w:rPr>
        <w:t>A Note on Sample Pairing</w:t>
      </w:r>
    </w:p>
    <w:p w14:paraId="08826A01" w14:textId="1FF22842" w:rsidR="00040691" w:rsidRDefault="00040691" w:rsidP="00040691">
      <w:r>
        <w:t xml:space="preserve">In some experiments, libraries are generated from early and late aliquots of the same cell culture and so replicates can be meaningfully paired. In such cases, it is recommended that replicate structure be considered within the </w:t>
      </w:r>
      <w:r w:rsidR="0019188D">
        <w:t xml:space="preserve">framework of the </w:t>
      </w:r>
      <w:r>
        <w:t xml:space="preserve">linear model by fitting a coefficient delineating the replicate groups. Doing so should improve detection of differentially abundant guides to the extent that the initial replicate cell cultures differ in their gRNA abundance profiles. </w:t>
      </w:r>
    </w:p>
    <w:p w14:paraId="0E2950C1" w14:textId="77777777" w:rsidR="00040691" w:rsidRDefault="00040691" w:rsidP="00040691"/>
    <w:p w14:paraId="620BABEA" w14:textId="77777777" w:rsidR="00040691" w:rsidRPr="00B8466C" w:rsidRDefault="00040691" w:rsidP="00040691">
      <w:pPr>
        <w:rPr>
          <w:b/>
        </w:rPr>
      </w:pPr>
      <w:r>
        <w:rPr>
          <w:b/>
        </w:rPr>
        <w:t xml:space="preserve">A Note on </w:t>
      </w:r>
      <w:r w:rsidRPr="00B8466C">
        <w:rPr>
          <w:b/>
        </w:rPr>
        <w:t>Normalization</w:t>
      </w:r>
    </w:p>
    <w:p w14:paraId="74CF2BDD" w14:textId="77777777" w:rsidR="00040691" w:rsidRDefault="00040691" w:rsidP="00040691"/>
    <w:p w14:paraId="7128F308" w14:textId="78648326" w:rsidR="00DC238A" w:rsidRDefault="00040691" w:rsidP="00F713A6">
      <w:r>
        <w:t xml:space="preserve">Normalization remains an active area of development for pooled Crispr screening. Because </w:t>
      </w:r>
      <w:r w:rsidR="0019188D">
        <w:t>pooled Crispr screens</w:t>
      </w:r>
      <w:r>
        <w:t xml:space="preserve"> are competitive assays, the measured abundance of guides between experimental conditions </w:t>
      </w:r>
      <w:r w:rsidR="0019188D">
        <w:t>is</w:t>
      </w:r>
      <w:r>
        <w:t xml:space="preserve"> dependent on the selective dynamics within the experiment, and so typical size factor-based normalization likely does not </w:t>
      </w:r>
      <w:r w:rsidR="00DC238A">
        <w:t>complete</w:t>
      </w:r>
      <w:r>
        <w:t xml:space="preserve">ly capture these effects. Consequently, </w:t>
      </w:r>
      <w:r w:rsidR="00F713A6">
        <w:t>gRNA abundance changes that are consistent but small in scale</w:t>
      </w:r>
      <w:r>
        <w:t xml:space="preserve"> are likely to be artifacts</w:t>
      </w:r>
      <w:r w:rsidR="00493249">
        <w:t xml:space="preserve">, </w:t>
      </w:r>
      <w:r w:rsidR="0019188D">
        <w:t xml:space="preserve">and </w:t>
      </w:r>
      <w:r w:rsidR="00493249">
        <w:t xml:space="preserve">effectively determining the extent to which the overall gRNA distribution has been influenced </w:t>
      </w:r>
      <w:r w:rsidR="0019188D">
        <w:t>within</w:t>
      </w:r>
      <w:r w:rsidR="00493249">
        <w:t xml:space="preserve"> a screen is extremely important in terms of interpreting the results of </w:t>
      </w:r>
      <w:r w:rsidR="0019188D">
        <w:t>an experiment</w:t>
      </w:r>
      <w:r w:rsidR="00493249">
        <w:t xml:space="preserve">. </w:t>
      </w:r>
    </w:p>
    <w:p w14:paraId="65E95063" w14:textId="43797AE2" w:rsidR="00DC238A" w:rsidRDefault="00040691" w:rsidP="00291EE0">
      <w:pPr>
        <w:ind w:firstLine="720"/>
      </w:pPr>
      <w:r>
        <w:t xml:space="preserve"> To determine the extent to which these effects may be present in a screen, </w:t>
      </w:r>
      <w:r w:rsidR="00DC238A">
        <w:t xml:space="preserve">a number of visualization tools </w:t>
      </w:r>
      <w:r w:rsidR="0019188D">
        <w:t>are provided to view the</w:t>
      </w:r>
      <w:r>
        <w:t xml:space="preserve"> the ranked guide abundance</w:t>
      </w:r>
      <w:r w:rsidR="0019188D">
        <w:t>s</w:t>
      </w:r>
      <w:r>
        <w:t xml:space="preserve"> </w:t>
      </w:r>
      <w:r w:rsidR="00DC238A">
        <w:t xml:space="preserve">and library distortion within each replicate. These include </w:t>
      </w:r>
      <w:r w:rsidR="00A3704E">
        <w:rPr>
          <w:rFonts w:ascii="Courier" w:hAnsi="Courier"/>
          <w:sz w:val="20"/>
          <w:szCs w:val="20"/>
        </w:rPr>
        <w:t>ct</w:t>
      </w:r>
      <w:r w:rsidRPr="00472E66">
        <w:rPr>
          <w:rFonts w:ascii="Courier" w:hAnsi="Courier"/>
          <w:sz w:val="20"/>
          <w:szCs w:val="20"/>
        </w:rPr>
        <w:t>.</w:t>
      </w:r>
      <w:r>
        <w:rPr>
          <w:rFonts w:ascii="Courier" w:hAnsi="Courier"/>
          <w:sz w:val="20"/>
          <w:szCs w:val="20"/>
        </w:rPr>
        <w:t>gRNAR</w:t>
      </w:r>
      <w:r w:rsidRPr="00472E66">
        <w:rPr>
          <w:rFonts w:ascii="Courier" w:hAnsi="Courier"/>
          <w:sz w:val="20"/>
          <w:szCs w:val="20"/>
        </w:rPr>
        <w:t>ankByReplicate()</w:t>
      </w:r>
      <w:r w:rsidR="00DC238A">
        <w:t xml:space="preserve">, </w:t>
      </w:r>
      <w:r w:rsidR="00DC238A" w:rsidRPr="00DC238A">
        <w:rPr>
          <w:rFonts w:ascii="Courier" w:hAnsi="Courier"/>
          <w:sz w:val="20"/>
          <w:szCs w:val="20"/>
        </w:rPr>
        <w:t xml:space="preserve">ct.viewControls(), </w:t>
      </w:r>
      <w:r w:rsidR="00DC238A">
        <w:t xml:space="preserve">and </w:t>
      </w:r>
      <w:r w:rsidR="00DC238A" w:rsidRPr="00DC238A">
        <w:rPr>
          <w:rFonts w:ascii="Courier" w:hAnsi="Courier"/>
          <w:sz w:val="20"/>
          <w:szCs w:val="20"/>
        </w:rPr>
        <w:t>ct.guideCDF()</w:t>
      </w:r>
      <w:r w:rsidR="00DC238A">
        <w:t xml:space="preserve">. </w:t>
      </w:r>
      <w:r w:rsidR="004D3B48">
        <w:t>In cases in wh</w:t>
      </w:r>
      <w:r w:rsidR="0019188D">
        <w:t>ere</w:t>
      </w:r>
      <w:r w:rsidR="004D3B48">
        <w:t xml:space="preserve"> the </w:t>
      </w:r>
      <w:r w:rsidR="00291EE0">
        <w:t>library is significantly distorted, gRNA-level p-value estimates a</w:t>
      </w:r>
      <w:r w:rsidR="0019188D">
        <w:t>r</w:t>
      </w:r>
      <w:r w:rsidR="00291EE0">
        <w:t xml:space="preserve">e likely </w:t>
      </w:r>
      <w:r w:rsidR="0019188D">
        <w:t xml:space="preserve">to be </w:t>
      </w:r>
      <w:r w:rsidR="0001740A">
        <w:t xml:space="preserve">improperly </w:t>
      </w:r>
      <w:r w:rsidR="0019188D">
        <w:t>estimated</w:t>
      </w:r>
      <w:r w:rsidR="0001740A">
        <w:t xml:space="preserve"> and it may be appropriate to use a</w:t>
      </w:r>
      <w:r w:rsidR="00291EE0">
        <w:t xml:space="preserve"> simpler approach </w:t>
      </w:r>
      <w:r w:rsidR="0001740A">
        <w:t>for prioritizing targets.</w:t>
      </w:r>
      <w:r w:rsidR="00291EE0">
        <w:t xml:space="preserve"> </w:t>
      </w:r>
      <w:r w:rsidR="0001740A">
        <w:t xml:space="preserve">In such a case, directly observing the </w:t>
      </w:r>
      <w:r w:rsidR="00291EE0">
        <w:t xml:space="preserve">genes whose gRNAs change the most as a proportion of the library with </w:t>
      </w:r>
      <w:r w:rsidR="00291EE0" w:rsidRPr="00DC238A">
        <w:rPr>
          <w:rFonts w:ascii="Courier" w:hAnsi="Courier"/>
          <w:sz w:val="20"/>
          <w:szCs w:val="20"/>
        </w:rPr>
        <w:t>ct.stackGuides()</w:t>
      </w:r>
      <w:r w:rsidR="0001740A" w:rsidRPr="0001740A">
        <w:rPr>
          <w:sz w:val="20"/>
          <w:szCs w:val="20"/>
        </w:rPr>
        <w:t xml:space="preserve"> </w:t>
      </w:r>
      <w:r w:rsidR="0001740A" w:rsidRPr="0001740A">
        <w:rPr>
          <w:szCs w:val="20"/>
        </w:rPr>
        <w:t>may be useful</w:t>
      </w:r>
      <w:r w:rsidR="00291EE0" w:rsidRPr="0001740A">
        <w:rPr>
          <w:sz w:val="20"/>
          <w:szCs w:val="20"/>
        </w:rPr>
        <w:t>.</w:t>
      </w:r>
      <w:r w:rsidR="00291EE0">
        <w:t xml:space="preserve"> </w:t>
      </w:r>
      <w:r w:rsidR="00DC238A">
        <w:t xml:space="preserve">See the respective manual pages </w:t>
      </w:r>
      <w:r w:rsidR="0001740A">
        <w:t xml:space="preserve">of these functions for </w:t>
      </w:r>
      <w:r w:rsidR="00DC238A">
        <w:t xml:space="preserve">further details. </w:t>
      </w:r>
    </w:p>
    <w:p w14:paraId="77E176FC" w14:textId="0C57FAB2" w:rsidR="005020BC" w:rsidRDefault="005020BC" w:rsidP="005020BC">
      <w:r>
        <w:t xml:space="preserve">  </w:t>
      </w:r>
      <w:r>
        <w:tab/>
        <w:t>Although normalization is a known issue, currentl</w:t>
      </w:r>
      <w:r w:rsidR="00140E14">
        <w:t xml:space="preserve">y we do not officially support </w:t>
      </w:r>
      <w:r>
        <w:t xml:space="preserve">alternative normalization methods for pooled Crispr screens. Instead, the described approaches to differential expression analysis and signal summarization should minimize the possibility of detecting normalization artifacts as top targets, and we recommend that analysts approach highly ranked targets with few strong guide-level signals with caution.  Direct visualization of guide set abundances with </w:t>
      </w:r>
      <w:r>
        <w:rPr>
          <w:rFonts w:ascii="Courier" w:hAnsi="Courier" w:cs="Courier New"/>
          <w:sz w:val="20"/>
          <w:szCs w:val="20"/>
        </w:rPr>
        <w:t>gc</w:t>
      </w:r>
      <w:r w:rsidRPr="00BD4395">
        <w:rPr>
          <w:rFonts w:ascii="Courier" w:hAnsi="Courier" w:cs="Courier New"/>
          <w:sz w:val="20"/>
          <w:szCs w:val="20"/>
        </w:rPr>
        <w:t>.viewGuides()</w:t>
      </w:r>
      <w:r>
        <w:t xml:space="preserve"> or a similar approach may assist in eliminating potentially spurious signals when selecting candidates for validation.  </w:t>
      </w:r>
    </w:p>
    <w:p w14:paraId="3E738519" w14:textId="3E9DE674" w:rsidR="00DC238A" w:rsidRDefault="005020BC" w:rsidP="00DC238A">
      <w:pPr>
        <w:ind w:firstLine="720"/>
      </w:pPr>
      <w:r>
        <w:t>However</w:t>
      </w:r>
      <w:r w:rsidR="00CC01FD">
        <w:t xml:space="preserve">, additional normalization options are available in the event that significant distortion exists but the screen results are complex enough that identifying good candidates is non-trivial through direct visualization. </w:t>
      </w:r>
      <w:r w:rsidR="003266B6">
        <w:t>If they are present in the library, a normalization approach based on the abundances of non-targeting controls may be an option, either by direct scaling or spline fitting (</w:t>
      </w:r>
      <w:r w:rsidR="003266B6" w:rsidRPr="003266B6">
        <w:rPr>
          <w:rFonts w:ascii="Courier" w:hAnsi="Courier"/>
          <w:sz w:val="20"/>
        </w:rPr>
        <w:t>ct.normalizeSpline()</w:t>
      </w:r>
      <w:r w:rsidR="003266B6">
        <w:t xml:space="preserve">). </w:t>
      </w:r>
      <w:r w:rsidR="003266B6" w:rsidRPr="00DC238A">
        <w:rPr>
          <w:rFonts w:ascii="Courier" w:hAnsi="Courier"/>
          <w:sz w:val="20"/>
          <w:szCs w:val="20"/>
        </w:rPr>
        <w:t>gCrispr</w:t>
      </w:r>
      <w:r w:rsidR="003266B6">
        <w:rPr>
          <w:rFonts w:ascii="Courier" w:hAnsi="Courier"/>
          <w:sz w:val="20"/>
          <w:szCs w:val="20"/>
        </w:rPr>
        <w:t>T</w:t>
      </w:r>
      <w:r w:rsidR="003266B6" w:rsidRPr="00DC238A">
        <w:rPr>
          <w:rFonts w:ascii="Courier" w:hAnsi="Courier"/>
          <w:sz w:val="20"/>
          <w:szCs w:val="20"/>
        </w:rPr>
        <w:t>ools</w:t>
      </w:r>
      <w:r w:rsidR="003266B6">
        <w:t xml:space="preserve"> also provides </w:t>
      </w:r>
      <w:r w:rsidR="003266B6" w:rsidRPr="00DC238A">
        <w:rPr>
          <w:rFonts w:ascii="Courier" w:hAnsi="Courier"/>
          <w:sz w:val="20"/>
          <w:szCs w:val="20"/>
        </w:rPr>
        <w:t>ct.normalizeBySlope(),</w:t>
      </w:r>
      <w:r w:rsidR="003266B6">
        <w:t xml:space="preserve"> an experimental method for imposing slope-based normalization on the raw gRNA count distributions; early indications suggest that slope normalization may provide benefit in screens in which the number of guides directly influencing cell viability is small relative to the library size (e.g., synthetic lethal dropout screens). </w:t>
      </w:r>
      <w:r>
        <w:t xml:space="preserve">These methods may be conveniently accessed with the </w:t>
      </w:r>
      <w:r w:rsidRPr="005020BC">
        <w:rPr>
          <w:rFonts w:ascii="Courier" w:hAnsi="Courier"/>
          <w:sz w:val="20"/>
        </w:rPr>
        <w:t>ct.normalizeGuides()</w:t>
      </w:r>
      <w:r w:rsidRPr="005020BC">
        <w:rPr>
          <w:sz w:val="20"/>
        </w:rPr>
        <w:t xml:space="preserve"> </w:t>
      </w:r>
      <w:r>
        <w:t xml:space="preserve">wrapper function. </w:t>
      </w:r>
    </w:p>
    <w:p w14:paraId="4AD2A0CA" w14:textId="49203B3A" w:rsidR="00040691" w:rsidRPr="00DC238A" w:rsidRDefault="00040691" w:rsidP="00DC238A">
      <w:pPr>
        <w:ind w:firstLine="720"/>
        <w:rPr>
          <w:rFonts w:ascii="Courier" w:hAnsi="Courier"/>
          <w:sz w:val="20"/>
          <w:szCs w:val="20"/>
        </w:rPr>
      </w:pPr>
    </w:p>
    <w:p w14:paraId="0D6F479E" w14:textId="77777777" w:rsidR="00040691" w:rsidRDefault="00040691" w:rsidP="00040691"/>
    <w:p w14:paraId="011B30E6" w14:textId="77777777" w:rsidR="00040691" w:rsidRDefault="00040691" w:rsidP="00040691"/>
    <w:p w14:paraId="0B2F9963" w14:textId="77777777" w:rsidR="00040691" w:rsidRDefault="00040691" w:rsidP="00040691">
      <w:pPr>
        <w:keepNext/>
      </w:pPr>
      <w:r w:rsidRPr="00305EF9">
        <w:rPr>
          <w:noProof/>
        </w:rPr>
        <w:drawing>
          <wp:inline distT="0" distB="0" distL="0" distR="0" wp14:anchorId="3AF80A94" wp14:editId="58BA9E11">
            <wp:extent cx="5486400" cy="5203825"/>
            <wp:effectExtent l="0" t="0" r="0" b="0"/>
            <wp:docPr id="4" name="Content Placeholder 3" descr="Log_Read_Counts_Accross_Conditions.pd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Log_Read_Counts_Accross_Conditions.pdf"/>
                    <pic:cNvPicPr>
                      <a:picLocks noGrp="1" noChangeAspect="1"/>
                    </pic:cNvPicPr>
                  </pic:nvPicPr>
                  <pic:blipFill rotWithShape="1">
                    <a:blip r:embed="rId7">
                      <a:extLst>
                        <a:ext uri="{28A0092B-C50C-407E-A947-70E740481C1C}">
                          <a14:useLocalDpi xmlns:a14="http://schemas.microsoft.com/office/drawing/2010/main" val="0"/>
                        </a:ext>
                      </a:extLst>
                    </a:blip>
                    <a:srcRect l="-2898" r="-2529"/>
                    <a:stretch/>
                  </pic:blipFill>
                  <pic:spPr>
                    <a:xfrm>
                      <a:off x="0" y="0"/>
                      <a:ext cx="5486400" cy="5203825"/>
                    </a:xfrm>
                    <a:prstGeom prst="rect">
                      <a:avLst/>
                    </a:prstGeom>
                  </pic:spPr>
                </pic:pic>
              </a:graphicData>
            </a:graphic>
          </wp:inline>
        </w:drawing>
      </w:r>
    </w:p>
    <w:p w14:paraId="3C1C166D" w14:textId="77777777" w:rsidR="00040691" w:rsidRDefault="00040691" w:rsidP="00040691">
      <w:pPr>
        <w:pStyle w:val="Caption"/>
      </w:pPr>
      <w:r>
        <w:t xml:space="preserve">Figure </w:t>
      </w:r>
      <w:fldSimple w:instr=" SEQ Figure \* ARABIC ">
        <w:r w:rsidR="006A3BBD">
          <w:rPr>
            <w:noProof/>
          </w:rPr>
          <w:t>1</w:t>
        </w:r>
      </w:fldSimple>
      <w:r>
        <w:t xml:space="preserve">: Normalization in Crispr Screens relative to RNAseq. Selective dynamics in Crispr screens introduce dependency between guide abundances, and gRNA abundance distributions remain distinct after size factor normalization (top panels), in contrast to RNAseq experiments (bottom panels). Left panels indicate the ranked abundances of features in Crispr and RNAseq experiments; right panels contain Q-Q Plots of median feature abundances in treatment and control samples. </w:t>
      </w:r>
    </w:p>
    <w:p w14:paraId="7AFEDAB6" w14:textId="3480F584" w:rsidR="00B8466C" w:rsidRPr="00C71B6B" w:rsidRDefault="00E918BF">
      <w:pPr>
        <w:rPr>
          <w:b/>
        </w:rPr>
      </w:pPr>
      <w:r w:rsidRPr="00C71B6B">
        <w:rPr>
          <w:b/>
        </w:rPr>
        <w:t>Splitting and Combining Screen Results</w:t>
      </w:r>
    </w:p>
    <w:p w14:paraId="64DE055F" w14:textId="77777777" w:rsidR="00E918BF" w:rsidRDefault="00E918BF"/>
    <w:p w14:paraId="7F4FFE37" w14:textId="3455D30B" w:rsidR="00F85A9F" w:rsidRDefault="00E918BF">
      <w:r>
        <w:tab/>
      </w:r>
      <w:r w:rsidR="00623903">
        <w:t>Crispr</w:t>
      </w:r>
      <w:r>
        <w:t xml:space="preserve"> screening libraries are typically designed to focus on a set of conceptually coherent target elements </w:t>
      </w:r>
      <w:r w:rsidR="00F85A9F">
        <w:t xml:space="preserve">(such as all transcribed genes in the genome or all enhancer elements in the neighborhood of a certain gene) </w:t>
      </w:r>
      <w:r>
        <w:t xml:space="preserve">such </w:t>
      </w:r>
      <w:r w:rsidR="008718F5">
        <w:t>that they may be prioritized in a more or le</w:t>
      </w:r>
      <w:r w:rsidR="00F85A9F">
        <w:t>ss comprehensive way</w:t>
      </w:r>
      <w:r w:rsidR="00623903">
        <w:t xml:space="preserve"> within a desired experimental context</w:t>
      </w:r>
      <w:r w:rsidR="00F85A9F">
        <w:t xml:space="preserve">. </w:t>
      </w:r>
      <w:r w:rsidR="00623903">
        <w:t>Depending on the desired number of targets, however, it may be may be experimentally impractical</w:t>
      </w:r>
      <w:r w:rsidR="00623903" w:rsidRPr="00F85A9F">
        <w:t xml:space="preserve"> </w:t>
      </w:r>
      <w:r w:rsidR="00623903">
        <w:t>to c</w:t>
      </w:r>
      <w:r w:rsidR="00F85A9F">
        <w:t xml:space="preserve">onduct such a screen and consequently </w:t>
      </w:r>
      <w:r w:rsidR="004B612C">
        <w:t>the target set is often divided into sublibraries</w:t>
      </w:r>
      <w:r w:rsidR="00623903">
        <w:t xml:space="preserve">. These sublibraries may then </w:t>
      </w:r>
      <w:r w:rsidR="004B612C">
        <w:t>be serially used in identical screen</w:t>
      </w:r>
      <w:r w:rsidR="00C71B6B">
        <w:t xml:space="preserve">ing conditions </w:t>
      </w:r>
      <w:r w:rsidR="004B612C">
        <w:t xml:space="preserve">to </w:t>
      </w:r>
      <w:r w:rsidR="00C71B6B">
        <w:t xml:space="preserve">eventually </w:t>
      </w:r>
      <w:r w:rsidR="00623903">
        <w:t xml:space="preserve">identify high-priority </w:t>
      </w:r>
      <w:r w:rsidR="00C71B6B">
        <w:t>targets across the entire set</w:t>
      </w:r>
      <w:r w:rsidR="004B612C">
        <w:t xml:space="preserve">. </w:t>
      </w:r>
    </w:p>
    <w:p w14:paraId="6321CC7E" w14:textId="4186C5FF" w:rsidR="00412555" w:rsidRDefault="00C71B6B">
      <w:r>
        <w:tab/>
      </w:r>
      <w:r w:rsidR="00623903">
        <w:t xml:space="preserve">Unfortunately, in practice it is extremely difficult to generalize the results of individual screens in this way. </w:t>
      </w:r>
      <w:r w:rsidR="005923EE">
        <w:t>T</w:t>
      </w:r>
      <w:r>
        <w:t>h</w:t>
      </w:r>
      <w:r w:rsidR="00623903">
        <w:t>is is because th</w:t>
      </w:r>
      <w:r>
        <w:t xml:space="preserve">e selection dynamics within a </w:t>
      </w:r>
      <w:r w:rsidR="00623903">
        <w:t xml:space="preserve">particular screen are idiosyncratic to the library used, and specific differences in gRNA abundances observed during a competitive screen are strongly contingent on the response of the other cells in the experiment to the stimulus (which itself may not be well controlled across screens). </w:t>
      </w:r>
      <w:r w:rsidR="00412555">
        <w:t xml:space="preserve">This means that the gRNA-level effects within a screen are not independent across guides and are generally measured inaccurately, and the ranking of these effects is by definition contingent on the effects observed in the other gRNAs in the library. </w:t>
      </w:r>
      <w:r w:rsidR="00EF3214">
        <w:t xml:space="preserve">These properties ensure that target prioritization methods based on accurate estimation of gRNA signals (such as direct linear modeling or derivation of </w:t>
      </w:r>
      <w:r w:rsidR="00EF3214">
        <w:rPr>
          <w:rFonts w:ascii="Cambria" w:hAnsi="Cambria"/>
        </w:rPr>
        <w:t>β</w:t>
      </w:r>
      <w:r w:rsidR="00EF3214">
        <w:t xml:space="preserve"> scores) are confounded by major nonlinear experiment-level effects and cannot be directly compared across experiments. Ranks-based tests are similarly not generalizeable because the gRNA rankings within an experiment are influenced by the other gRNAs that are included in the screen. </w:t>
      </w:r>
      <w:r w:rsidR="00623903">
        <w:t xml:space="preserve">Consequently, the results of a </w:t>
      </w:r>
      <w:r>
        <w:t>screen</w:t>
      </w:r>
      <w:r w:rsidR="00ED007C">
        <w:t xml:space="preserve"> and </w:t>
      </w:r>
      <w:r w:rsidR="00623903">
        <w:t xml:space="preserve">the </w:t>
      </w:r>
      <w:r w:rsidR="00ED007C">
        <w:t>corr</w:t>
      </w:r>
      <w:r w:rsidR="005923EE">
        <w:t xml:space="preserve">esponding prioritization of targets </w:t>
      </w:r>
      <w:r>
        <w:t>are best understood as specific to the</w:t>
      </w:r>
      <w:r w:rsidR="00ED007C">
        <w:t xml:space="preserve"> gRNA library </w:t>
      </w:r>
      <w:r w:rsidR="00623903">
        <w:t>and</w:t>
      </w:r>
      <w:r w:rsidR="00ED007C">
        <w:t xml:space="preserve"> experiment</w:t>
      </w:r>
      <w:r w:rsidR="00412555">
        <w:t xml:space="preserve">. </w:t>
      </w:r>
    </w:p>
    <w:p w14:paraId="4E2897C6" w14:textId="255F6673" w:rsidR="0098213C" w:rsidRDefault="00EF3214" w:rsidP="00EF3214">
      <w:pPr>
        <w:ind w:firstLine="720"/>
      </w:pPr>
      <w:r>
        <w:t>Notably, the gRNA rankings observed within a screen are typically independent of overall screen dynamics and are measured ver</w:t>
      </w:r>
      <w:r w:rsidR="0098213C">
        <w:t>y accurately. That is, the effect rankings of a given set of gRNAs are usually similar within a given</w:t>
      </w:r>
      <w:r>
        <w:t xml:space="preserve"> experimental context </w:t>
      </w:r>
      <w:r w:rsidR="0098213C">
        <w:t>regardless of the behavior of the other guides included in the library and experiment-level effects. This means that a subset of gRNA signals may be sampled from a larger screen and reliably analyzed as if the screen were performed using a library that only included those guides. Presumably this is because each gRNA has a ‘natural’ effect on the cell’s viability that is essentially intrinsic to the cell (which may or may not reflect the biological effect of disrupting the gRNA’s target sequence).</w:t>
      </w:r>
    </w:p>
    <w:p w14:paraId="2564581A" w14:textId="77777777" w:rsidR="00E918BF" w:rsidRDefault="00E918BF"/>
    <w:p w14:paraId="349CF699" w14:textId="77777777" w:rsidR="00F03929" w:rsidRPr="00B8466C" w:rsidRDefault="00F03929">
      <w:pPr>
        <w:rPr>
          <w:b/>
        </w:rPr>
      </w:pPr>
      <w:r w:rsidRPr="00B8466C">
        <w:rPr>
          <w:b/>
        </w:rPr>
        <w:t>Summarization of Guide Signals</w:t>
      </w:r>
    </w:p>
    <w:p w14:paraId="04AD20DB" w14:textId="77777777" w:rsidR="00F03929" w:rsidRDefault="00F03929"/>
    <w:p w14:paraId="495830CD" w14:textId="2D7997CD" w:rsidR="003A5CCB" w:rsidRDefault="00E33E64">
      <w:r>
        <w:tab/>
      </w:r>
      <w:r w:rsidR="00D85B4E">
        <w:t xml:space="preserve">After identifying differentially abundant guides, </w:t>
      </w:r>
      <w:r w:rsidR="00D90057">
        <w:t xml:space="preserve">the individual gRNA signals should be summarized to identify targets in which dropout or enrichment signals are disproportionately present within the corresponding gRNA set. </w:t>
      </w:r>
      <w:r w:rsidR="007F38F2">
        <w:t>This can be done in one of two ways: P-value aggregation via Robust Rank Alpha Aggregation (RRA</w:t>
      </w:r>
      <w:r w:rsidR="007F38F2">
        <w:rPr>
          <w:rFonts w:ascii="Cambria" w:hAnsi="Cambria"/>
        </w:rPr>
        <w:t>α</w:t>
      </w:r>
      <w:r w:rsidR="007F38F2">
        <w:t xml:space="preserve">) implemented in the </w:t>
      </w:r>
      <w:r w:rsidR="00B81176">
        <w:rPr>
          <w:rFonts w:ascii="Courier" w:hAnsi="Courier"/>
          <w:sz w:val="20"/>
        </w:rPr>
        <w:t>ct.RRAaPvals</w:t>
      </w:r>
      <w:r w:rsidR="007F38F2" w:rsidRPr="007F38F2">
        <w:rPr>
          <w:rFonts w:ascii="Courier" w:hAnsi="Courier"/>
          <w:sz w:val="20"/>
        </w:rPr>
        <w:t>()</w:t>
      </w:r>
      <w:r w:rsidR="007F38F2">
        <w:t xml:space="preserve"> function</w:t>
      </w:r>
      <w:r w:rsidR="002A7DC8">
        <w:t xml:space="preserve"> </w:t>
      </w:r>
      <w:r w:rsidR="007F38F2">
        <w:t xml:space="preserve">or via the </w:t>
      </w:r>
      <w:r w:rsidR="007F38F2" w:rsidRPr="00CD10D3">
        <w:rPr>
          <w:rFonts w:ascii="Courier" w:hAnsi="Courier"/>
          <w:sz w:val="20"/>
        </w:rPr>
        <w:t>geneSetTest</w:t>
      </w:r>
      <w:r w:rsidR="007F38F2">
        <w:t xml:space="preserve"> implemented in </w:t>
      </w:r>
      <w:r w:rsidR="00CD10D3" w:rsidRPr="00CD10D3">
        <w:rPr>
          <w:rFonts w:ascii="Courier" w:hAnsi="Courier"/>
          <w:sz w:val="20"/>
        </w:rPr>
        <w:t>limma</w:t>
      </w:r>
      <w:r w:rsidR="007F38F2">
        <w:t xml:space="preserve">. </w:t>
      </w:r>
      <w:r w:rsidR="00A3704E" w:rsidRPr="00A3704E">
        <w:rPr>
          <w:rFonts w:ascii="Courier" w:hAnsi="Courier"/>
          <w:sz w:val="20"/>
        </w:rPr>
        <w:t>ct.RRAaPvals</w:t>
      </w:r>
      <w:r w:rsidR="007F38F2" w:rsidRPr="007F38F2">
        <w:rPr>
          <w:rFonts w:ascii="Courier" w:hAnsi="Courier"/>
          <w:sz w:val="20"/>
        </w:rPr>
        <w:t>()</w:t>
      </w:r>
      <w:r w:rsidR="007F38F2">
        <w:t xml:space="preserve"> operates directly on the tailed P-values generated in the linear model, and replicates the signal aggregation method employed by MAGeCK</w:t>
      </w:r>
      <w:r w:rsidR="00CD10D3">
        <w:t xml:space="preserve"> with the minor modifications described above</w:t>
      </w:r>
      <w:r w:rsidR="007F38F2">
        <w:t xml:space="preserve">. The </w:t>
      </w:r>
      <w:r w:rsidR="007F38F2" w:rsidRPr="00CD10D3">
        <w:rPr>
          <w:rFonts w:ascii="Courier" w:hAnsi="Courier"/>
          <w:sz w:val="20"/>
        </w:rPr>
        <w:t>geneSetTest</w:t>
      </w:r>
      <w:r w:rsidR="00CD10D3">
        <w:t xml:space="preserve"> a</w:t>
      </w:r>
      <w:r w:rsidR="007F38F2">
        <w:t xml:space="preserve">pproach </w:t>
      </w:r>
      <w:r w:rsidR="007472DE">
        <w:t xml:space="preserve">implements </w:t>
      </w:r>
      <w:r w:rsidR="007F38F2">
        <w:t xml:space="preserve">a Wilcoxon </w:t>
      </w:r>
      <w:r w:rsidR="007472DE">
        <w:t>test of the gRNA abundance ranks, and so it may be more sensitive in cases where the selection signal is weak relative to the replicate-level variance, as may be the case at early timepoints</w:t>
      </w:r>
      <w:r w:rsidR="000A0DED">
        <w:t xml:space="preserve"> or </w:t>
      </w:r>
      <w:r w:rsidR="00CD10D3">
        <w:t xml:space="preserve">in </w:t>
      </w:r>
      <w:r w:rsidR="000A0DED">
        <w:t>experiments where the initial infections are variable for some reason</w:t>
      </w:r>
      <w:r w:rsidR="007472DE">
        <w:t>.</w:t>
      </w:r>
      <w:r w:rsidR="000C7A78">
        <w:t xml:space="preserve"> </w:t>
      </w:r>
    </w:p>
    <w:p w14:paraId="36B04358" w14:textId="575502E9" w:rsidR="000C7A78" w:rsidRDefault="000618C6" w:rsidP="003A5CCB">
      <w:pPr>
        <w:ind w:firstLine="720"/>
      </w:pPr>
      <w:r>
        <w:t>While these approaches yield largely similar target rankings in most cases,</w:t>
      </w:r>
      <w:r w:rsidR="006A4707">
        <w:t xml:space="preserve"> they prioritize slightly different patterns of gRNA signal within each set. Specifically, the </w:t>
      </w:r>
      <w:r>
        <w:t>RRA</w:t>
      </w:r>
      <w:r>
        <w:rPr>
          <w:rFonts w:ascii="Cambria" w:hAnsi="Cambria"/>
        </w:rPr>
        <w:t>α</w:t>
      </w:r>
      <w:r>
        <w:t xml:space="preserve"> approach </w:t>
      </w:r>
      <w:r w:rsidR="006A4707">
        <w:t xml:space="preserve">prioritizes targets with multiple strong signals and </w:t>
      </w:r>
      <w:r>
        <w:t>is more tolerant of nonresponsive guides or guides w</w:t>
      </w:r>
      <w:r w:rsidR="006A4707">
        <w:t>ith opposite signal directions</w:t>
      </w:r>
      <w:r w:rsidR="006A3BBD">
        <w:t xml:space="preserve"> (which may be due to off-target effects)</w:t>
      </w:r>
      <w:r w:rsidR="006A4707">
        <w:t xml:space="preserve">, while the </w:t>
      </w:r>
      <w:r w:rsidR="006A4707" w:rsidRPr="00C1124F">
        <w:rPr>
          <w:rFonts w:ascii="Courier" w:hAnsi="Courier"/>
          <w:sz w:val="20"/>
        </w:rPr>
        <w:t>geneSetTest</w:t>
      </w:r>
      <w:r w:rsidR="006A4707">
        <w:t xml:space="preserve"> will tend to prioritize targets whose guides are consisten</w:t>
      </w:r>
      <w:r w:rsidR="006A3BBD">
        <w:t>tly depleted or enriched</w:t>
      </w:r>
      <w:r w:rsidR="006A4707">
        <w:t xml:space="preserve"> (which may correspond to normalization artifacts). </w:t>
      </w:r>
    </w:p>
    <w:p w14:paraId="77EAA65F" w14:textId="77777777" w:rsidR="006A3BBD" w:rsidRDefault="006A3BBD"/>
    <w:p w14:paraId="64C4697A" w14:textId="77777777" w:rsidR="006A3BBD" w:rsidRDefault="006A3BBD" w:rsidP="006A3BBD">
      <w:pPr>
        <w:keepNext/>
        <w:jc w:val="center"/>
      </w:pPr>
      <w:r w:rsidRPr="006A3BBD">
        <w:rPr>
          <w:noProof/>
        </w:rPr>
        <w:drawing>
          <wp:inline distT="0" distB="0" distL="0" distR="0" wp14:anchorId="3C52939D" wp14:editId="46F5D37D">
            <wp:extent cx="4054046" cy="2229569"/>
            <wp:effectExtent l="0" t="0" r="10160" b="5715"/>
            <wp:docPr id="1" name="Content Placeholder 3" descr="Mageck_preferred.pdf"/>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Mageck_preferred.pdf"/>
                    <pic:cNvPicPr>
                      <a:picLocks noGrp="1" noChangeAspect="1"/>
                    </pic:cNvPicPr>
                  </pic:nvPicPr>
                  <pic:blipFill>
                    <a:blip r:embed="rId8">
                      <a:extLst>
                        <a:ext uri="{28A0092B-C50C-407E-A947-70E740481C1C}">
                          <a14:useLocalDpi xmlns:a14="http://schemas.microsoft.com/office/drawing/2010/main" val="0"/>
                        </a:ext>
                      </a:extLst>
                    </a:blip>
                    <a:srcRect t="22502" b="22502"/>
                    <a:stretch>
                      <a:fillRect/>
                    </a:stretch>
                  </pic:blipFill>
                  <pic:spPr>
                    <a:xfrm>
                      <a:off x="0" y="0"/>
                      <a:ext cx="4054046" cy="2229569"/>
                    </a:xfrm>
                    <a:prstGeom prst="rect">
                      <a:avLst/>
                    </a:prstGeom>
                  </pic:spPr>
                </pic:pic>
              </a:graphicData>
            </a:graphic>
          </wp:inline>
        </w:drawing>
      </w:r>
    </w:p>
    <w:p w14:paraId="7FFD858A" w14:textId="61CDE28F" w:rsidR="006A3BBD" w:rsidRDefault="006A3BBD" w:rsidP="006A3BBD">
      <w:pPr>
        <w:pStyle w:val="Caption"/>
        <w:jc w:val="center"/>
      </w:pPr>
      <w:r>
        <w:t xml:space="preserve">Figure </w:t>
      </w:r>
      <w:fldSimple w:instr=" SEQ Figure \* ARABIC ">
        <w:r>
          <w:rPr>
            <w:noProof/>
          </w:rPr>
          <w:t>2</w:t>
        </w:r>
      </w:fldSimple>
      <w:r>
        <w:t>:Example of a</w:t>
      </w:r>
      <w:r w:rsidR="00E918BF">
        <w:t xml:space="preserve"> dropout </w:t>
      </w:r>
      <w:r>
        <w:t xml:space="preserve">target more </w:t>
      </w:r>
      <w:r w:rsidR="003A5CCB">
        <w:t xml:space="preserve">highly </w:t>
      </w:r>
      <w:r>
        <w:t>prioritized by RRA</w:t>
      </w:r>
      <w:r>
        <w:rPr>
          <w:rFonts w:ascii="Cambria" w:hAnsi="Cambria"/>
        </w:rPr>
        <w:t>α</w:t>
      </w:r>
      <w:r>
        <w:t xml:space="preserve"> relative to geneSetTest.</w:t>
      </w:r>
    </w:p>
    <w:p w14:paraId="42C0AD36" w14:textId="77777777" w:rsidR="006A3BBD" w:rsidRDefault="006A3BBD"/>
    <w:p w14:paraId="31C137B7" w14:textId="77777777" w:rsidR="006A3BBD" w:rsidRDefault="006A3BBD" w:rsidP="006A3BBD">
      <w:pPr>
        <w:keepNext/>
        <w:jc w:val="center"/>
      </w:pPr>
      <w:r w:rsidRPr="006A3BBD">
        <w:rPr>
          <w:noProof/>
        </w:rPr>
        <w:drawing>
          <wp:inline distT="0" distB="0" distL="0" distR="0" wp14:anchorId="2C2E0190" wp14:editId="07CDA975">
            <wp:extent cx="4537258" cy="2401882"/>
            <wp:effectExtent l="0" t="0" r="9525" b="11430"/>
            <wp:docPr id="8" name="Picture 7" descr="Wilcox_preferre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Wilcox_preferred.pdf"/>
                    <pic:cNvPicPr>
                      <a:picLocks noChangeAspect="1"/>
                    </pic:cNvPicPr>
                  </pic:nvPicPr>
                  <pic:blipFill rotWithShape="1">
                    <a:blip r:embed="rId9">
                      <a:extLst>
                        <a:ext uri="{28A0092B-C50C-407E-A947-70E740481C1C}">
                          <a14:useLocalDpi xmlns:a14="http://schemas.microsoft.com/office/drawing/2010/main" val="0"/>
                        </a:ext>
                      </a:extLst>
                    </a:blip>
                    <a:srcRect t="25619" b="21444"/>
                    <a:stretch/>
                  </pic:blipFill>
                  <pic:spPr bwMode="auto">
                    <a:xfrm>
                      <a:off x="0" y="0"/>
                      <a:ext cx="4538082" cy="2402318"/>
                    </a:xfrm>
                    <a:prstGeom prst="rect">
                      <a:avLst/>
                    </a:prstGeom>
                    <a:ln>
                      <a:noFill/>
                    </a:ln>
                    <a:extLst>
                      <a:ext uri="{53640926-AAD7-44d8-BBD7-CCE9431645EC}">
                        <a14:shadowObscured xmlns:a14="http://schemas.microsoft.com/office/drawing/2010/main"/>
                      </a:ext>
                    </a:extLst>
                  </pic:spPr>
                </pic:pic>
              </a:graphicData>
            </a:graphic>
          </wp:inline>
        </w:drawing>
      </w:r>
    </w:p>
    <w:p w14:paraId="74C1D0E6" w14:textId="50629879" w:rsidR="006A3BBD" w:rsidRDefault="006A3BBD" w:rsidP="006A3BBD">
      <w:pPr>
        <w:pStyle w:val="Caption"/>
        <w:jc w:val="center"/>
      </w:pPr>
      <w:r>
        <w:t xml:space="preserve">Figure </w:t>
      </w:r>
      <w:fldSimple w:instr=" SEQ Figure \* ARABIC ">
        <w:r>
          <w:rPr>
            <w:noProof/>
          </w:rPr>
          <w:t>3</w:t>
        </w:r>
      </w:fldSimple>
      <w:r>
        <w:t xml:space="preserve">: Example of a </w:t>
      </w:r>
      <w:r w:rsidR="00E918BF">
        <w:t xml:space="preserve">dropout </w:t>
      </w:r>
      <w:r>
        <w:t>target more highly prioritized by geneSetTest than RRA</w:t>
      </w:r>
      <w:r>
        <w:rPr>
          <w:rFonts w:ascii="Cambria" w:hAnsi="Cambria"/>
        </w:rPr>
        <w:t>α</w:t>
      </w:r>
    </w:p>
    <w:p w14:paraId="4ACDF641" w14:textId="6623A674" w:rsidR="00600945" w:rsidRDefault="00600945">
      <w:r>
        <w:tab/>
        <w:t xml:space="preserve">The </w:t>
      </w:r>
      <w:r w:rsidR="00A3704E" w:rsidRPr="00A3704E">
        <w:rPr>
          <w:rFonts w:ascii="Courier" w:hAnsi="Courier"/>
          <w:sz w:val="20"/>
        </w:rPr>
        <w:t>ct.RRAaPvals</w:t>
      </w:r>
      <w:r w:rsidRPr="007F38F2">
        <w:rPr>
          <w:rFonts w:ascii="Courier" w:hAnsi="Courier"/>
          <w:sz w:val="20"/>
        </w:rPr>
        <w:t>()</w:t>
      </w:r>
      <w:r>
        <w:t xml:space="preserve"> function requires the user to specify an input parameter, </w:t>
      </w:r>
      <w:r>
        <w:rPr>
          <w:rFonts w:ascii="Cambria" w:hAnsi="Cambria"/>
        </w:rPr>
        <w:t>α</w:t>
      </w:r>
      <w:r>
        <w:t xml:space="preserve">, indicating the P-value threshold </w:t>
      </w:r>
      <w:r w:rsidR="003A5CCB">
        <w:t>above</w:t>
      </w:r>
      <w:r>
        <w:t xml:space="preserve"> which gRNAs should not be considered differentially expressed. </w:t>
      </w:r>
      <w:r w:rsidR="00573510">
        <w:t xml:space="preserve">Theoretically, more stringent </w:t>
      </w:r>
      <w:r w:rsidR="00573510">
        <w:rPr>
          <w:rFonts w:ascii="Cambria" w:hAnsi="Cambria"/>
        </w:rPr>
        <w:t xml:space="preserve">α choices will tend to prioritize targets with fewer very large signals, while more permissive α will prioritize </w:t>
      </w:r>
      <w:r w:rsidR="003A5CCB">
        <w:rPr>
          <w:rFonts w:ascii="Cambria" w:hAnsi="Cambria"/>
        </w:rPr>
        <w:t>targets</w:t>
      </w:r>
      <w:r w:rsidR="00573510">
        <w:rPr>
          <w:rFonts w:ascii="Cambria" w:hAnsi="Cambria"/>
        </w:rPr>
        <w:t xml:space="preserve"> with more persistent effects across all gRNAs in the set. </w:t>
      </w:r>
      <w:r>
        <w:t>In practice</w:t>
      </w:r>
      <w:r w:rsidR="00573510">
        <w:t>, however,</w:t>
      </w:r>
      <w:r>
        <w:t xml:space="preserve"> the algorithm is largely robust to </w:t>
      </w:r>
      <w:r w:rsidR="00573510">
        <w:t xml:space="preserve">the specific level of </w:t>
      </w:r>
      <w:r w:rsidR="00573510">
        <w:rPr>
          <w:rFonts w:ascii="Cambria" w:hAnsi="Cambria"/>
        </w:rPr>
        <w:t>α</w:t>
      </w:r>
      <w:r w:rsidR="00573510">
        <w:t xml:space="preserve"> within reasonable ranges (e.g., when </w:t>
      </w:r>
      <w:r w:rsidR="00573510">
        <w:rPr>
          <w:rFonts w:ascii="Cambria" w:hAnsi="Cambria"/>
        </w:rPr>
        <w:t>α</w:t>
      </w:r>
      <w:r w:rsidR="00573510">
        <w:t xml:space="preserve"> is in a range that mostly isolates the tail of the </w:t>
      </w:r>
      <w:r w:rsidR="00FF739F">
        <w:t xml:space="preserve">gRNA </w:t>
      </w:r>
      <w:bookmarkStart w:id="0" w:name="_GoBack"/>
      <w:bookmarkEnd w:id="0"/>
      <w:r w:rsidR="00573510">
        <w:t>P-value distribution)</w:t>
      </w:r>
      <w:r>
        <w:t>.</w:t>
      </w:r>
      <w:r w:rsidR="00573510">
        <w:t xml:space="preserve"> Additionally, RRA</w:t>
      </w:r>
      <w:r w:rsidR="00573510">
        <w:rPr>
          <w:rFonts w:ascii="Cambria" w:hAnsi="Cambria"/>
        </w:rPr>
        <w:t>α</w:t>
      </w:r>
      <w:r w:rsidR="00573510">
        <w:t xml:space="preserve"> aggregation relies on permutation and consequently tends to return many targets with identical P-values, which </w:t>
      </w:r>
      <w:r w:rsidR="003A5CCB">
        <w:t>is not ideal</w:t>
      </w:r>
      <w:r w:rsidR="00573510">
        <w:t xml:space="preserve"> in situations where a strict ranking of the target list is desired. </w:t>
      </w:r>
    </w:p>
    <w:p w14:paraId="278A491F" w14:textId="5924285C" w:rsidR="000A0DED" w:rsidRDefault="00573510" w:rsidP="00783C90">
      <w:r>
        <w:tab/>
      </w:r>
      <w:r w:rsidR="003A5CCB">
        <w:t xml:space="preserve">To use the </w:t>
      </w:r>
      <w:r w:rsidR="003A5CCB" w:rsidRPr="00C1124F">
        <w:rPr>
          <w:rFonts w:ascii="Courier" w:hAnsi="Courier"/>
          <w:sz w:val="20"/>
        </w:rPr>
        <w:t>geneSetTest</w:t>
      </w:r>
      <w:r w:rsidR="003A5CCB">
        <w:t xml:space="preserve"> approach</w:t>
      </w:r>
      <w:r>
        <w:t xml:space="preserve"> analysts should </w:t>
      </w:r>
      <w:r w:rsidR="001B2CF9">
        <w:t xml:space="preserve">set the </w:t>
      </w:r>
      <w:r w:rsidR="001B2CF9" w:rsidRPr="001B2CF9">
        <w:rPr>
          <w:rFonts w:ascii="Courier" w:hAnsi="Courier"/>
          <w:sz w:val="20"/>
        </w:rPr>
        <w:t>ranks.only=TRUE</w:t>
      </w:r>
      <w:r w:rsidR="001B2CF9" w:rsidRPr="001B2CF9">
        <w:rPr>
          <w:sz w:val="20"/>
        </w:rPr>
        <w:t xml:space="preserve"> </w:t>
      </w:r>
      <w:r w:rsidR="001B2CF9">
        <w:t>flag, and specify the appropriate one-sided test alternative</w:t>
      </w:r>
      <w:r>
        <w:t xml:space="preserve">. </w:t>
      </w:r>
      <w:r w:rsidR="00783C90">
        <w:t xml:space="preserve">They will also need to construct an appropriate </w:t>
      </w:r>
      <w:r w:rsidR="00C1124F">
        <w:rPr>
          <w:rFonts w:ascii="Courier" w:hAnsi="Courier"/>
          <w:sz w:val="20"/>
        </w:rPr>
        <w:t>index</w:t>
      </w:r>
      <w:r w:rsidR="00783C90">
        <w:t xml:space="preserve"> object to aggregate the guides, in which the individual gRNAs are treated as genes collected</w:t>
      </w:r>
      <w:r w:rsidR="003A5CCB">
        <w:t xml:space="preserve"> into target-level “gene sets”. See the documentation in </w:t>
      </w:r>
      <w:r w:rsidR="003A5CCB" w:rsidRPr="003A5CCB">
        <w:rPr>
          <w:rFonts w:ascii="Courier" w:hAnsi="Courier"/>
          <w:sz w:val="20"/>
        </w:rPr>
        <w:t>limma::geneSetTest</w:t>
      </w:r>
      <w:r w:rsidR="003A5CCB" w:rsidRPr="003A5CCB">
        <w:rPr>
          <w:sz w:val="20"/>
        </w:rPr>
        <w:t xml:space="preserve"> </w:t>
      </w:r>
      <w:r w:rsidR="003A5CCB">
        <w:t>for further details.</w:t>
      </w:r>
    </w:p>
    <w:p w14:paraId="1B74DBD6" w14:textId="77777777" w:rsidR="00C876C6" w:rsidRDefault="00C876C6" w:rsidP="00783C90"/>
    <w:p w14:paraId="77340919" w14:textId="77765884" w:rsidR="002A7DC8" w:rsidRPr="002A7DC8" w:rsidRDefault="002C6DCC" w:rsidP="002A7DC8">
      <w:pPr>
        <w:rPr>
          <w:b/>
        </w:rPr>
      </w:pPr>
      <w:r>
        <w:rPr>
          <w:b/>
        </w:rPr>
        <w:t>Target</w:t>
      </w:r>
      <w:r w:rsidR="002A7DC8" w:rsidRPr="002A7DC8">
        <w:rPr>
          <w:b/>
        </w:rPr>
        <w:t xml:space="preserve"> Enrichment in Crispr Screens</w:t>
      </w:r>
    </w:p>
    <w:p w14:paraId="224DF11B" w14:textId="77777777" w:rsidR="002A7DC8" w:rsidRDefault="002A7DC8" w:rsidP="002A7DC8"/>
    <w:p w14:paraId="23275760" w14:textId="77777777" w:rsidR="002A7DC8" w:rsidRDefault="002A7DC8" w:rsidP="002A7DC8">
      <w:r>
        <w:tab/>
        <w:t xml:space="preserve">If desired, gCrisprTools also provides some limited geneset enrichment analysis functionalities that may be deployed via the </w:t>
      </w:r>
      <w:r w:rsidRPr="00BE42EE">
        <w:rPr>
          <w:rFonts w:ascii="Courier" w:hAnsi="Courier"/>
          <w:sz w:val="20"/>
          <w:szCs w:val="20"/>
        </w:rPr>
        <w:t xml:space="preserve">ct.PantherPathwayEnrichment() </w:t>
      </w:r>
      <w:r>
        <w:t>function. This method searches for disproportionate depletion or enrichment of genes within the pathways contained in the PANTHER database, using the set of all genes targeted in the screen as the testing universe. Consequently, the interpretation of these results is somewhat tricky in the sense that pathway enrichment results are only meaningful within the context of the screen, and may or may not be informative of the underlying biology in question. This means that pathways not targeted by a Crispr library will obviously never be enriched within the positive target set regardless of their biological relevance, and pathways enriched within a focused library screen are similarly expected to partially reflect the composition of the library and other confounding issues (e.g., number of targets within a pathway). Analysts should therefore use this function with care. For example, it might be unsurprising to detect pathways related to histone modification within a screen employing a crispr library targeting epigenetic regulators.</w:t>
      </w:r>
    </w:p>
    <w:p w14:paraId="7F24018D" w14:textId="27CA0B41" w:rsidR="000A0DED" w:rsidRDefault="002E2469">
      <w:r>
        <w:tab/>
        <w:t>In cases where a particul</w:t>
      </w:r>
      <w:r w:rsidR="00992AB6">
        <w:t xml:space="preserve">ar gene set of interest is known, </w:t>
      </w:r>
      <w:r w:rsidR="00992AB6" w:rsidRPr="00C679FC">
        <w:rPr>
          <w:rFonts w:ascii="Courier" w:hAnsi="Courier"/>
          <w:sz w:val="20"/>
        </w:rPr>
        <w:t>gCrisprTools</w:t>
      </w:r>
      <w:r w:rsidR="00992AB6">
        <w:t xml:space="preserve"> provides functions </w:t>
      </w:r>
      <w:r w:rsidR="00C679FC">
        <w:t xml:space="preserve">to assess the sensitivity and specificity </w:t>
      </w:r>
      <w:r w:rsidR="00C85343">
        <w:t xml:space="preserve">of a screen by constructing receiver-operator characteristics and precision-recall curves with the </w:t>
      </w:r>
      <w:r w:rsidR="00C85343" w:rsidRPr="00C85343">
        <w:rPr>
          <w:rFonts w:ascii="Courier" w:hAnsi="Courier"/>
          <w:sz w:val="20"/>
        </w:rPr>
        <w:t>ct.ROC()</w:t>
      </w:r>
      <w:r w:rsidR="00C85343" w:rsidRPr="00C85343">
        <w:rPr>
          <w:sz w:val="20"/>
        </w:rPr>
        <w:t xml:space="preserve"> </w:t>
      </w:r>
      <w:r w:rsidR="00C85343">
        <w:t xml:space="preserve">and </w:t>
      </w:r>
      <w:r w:rsidR="00C85343" w:rsidRPr="00C85343">
        <w:rPr>
          <w:rFonts w:ascii="Courier" w:hAnsi="Courier"/>
          <w:sz w:val="20"/>
        </w:rPr>
        <w:t>ct.PRC()</w:t>
      </w:r>
      <w:r w:rsidR="00C85343" w:rsidRPr="00C85343">
        <w:rPr>
          <w:sz w:val="20"/>
        </w:rPr>
        <w:t xml:space="preserve"> </w:t>
      </w:r>
      <w:r w:rsidR="00C85343">
        <w:t xml:space="preserve">functions, respectively. </w:t>
      </w:r>
      <w:r w:rsidR="009869B4">
        <w:t>Additional informati</w:t>
      </w:r>
      <w:r w:rsidR="009F57D4">
        <w:t>on about these methods is</w:t>
      </w:r>
      <w:r w:rsidR="009869B4">
        <w:t xml:space="preserve"> available in their respective manual pages. </w:t>
      </w:r>
    </w:p>
    <w:p w14:paraId="17AA81B3" w14:textId="30AE3DEC" w:rsidR="007472DE" w:rsidRDefault="007472DE">
      <w:r>
        <w:t xml:space="preserve"> </w:t>
      </w:r>
    </w:p>
    <w:p w14:paraId="00D219CD" w14:textId="0A7C490C" w:rsidR="00F03929" w:rsidRDefault="007472DE">
      <w:r>
        <w:tab/>
        <w:t xml:space="preserve"> </w:t>
      </w:r>
    </w:p>
    <w:p w14:paraId="17346F58" w14:textId="77777777" w:rsidR="00F03929" w:rsidRDefault="00F03929"/>
    <w:p w14:paraId="51A03A57" w14:textId="77777777" w:rsidR="00F03929" w:rsidRDefault="00F03929"/>
    <w:sectPr w:rsidR="00F03929" w:rsidSect="008B048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9E4C0A"/>
    <w:multiLevelType w:val="hybridMultilevel"/>
    <w:tmpl w:val="DF58BE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6F8E723B"/>
    <w:multiLevelType w:val="hybridMultilevel"/>
    <w:tmpl w:val="13F62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02AD"/>
    <w:rsid w:val="0001740A"/>
    <w:rsid w:val="00040691"/>
    <w:rsid w:val="000618C6"/>
    <w:rsid w:val="00063D8F"/>
    <w:rsid w:val="000A0DED"/>
    <w:rsid w:val="000B0EDA"/>
    <w:rsid w:val="000C7A78"/>
    <w:rsid w:val="001220A7"/>
    <w:rsid w:val="00131CA3"/>
    <w:rsid w:val="00140E14"/>
    <w:rsid w:val="001620C8"/>
    <w:rsid w:val="0019188D"/>
    <w:rsid w:val="001A1598"/>
    <w:rsid w:val="001B2CF9"/>
    <w:rsid w:val="001B4224"/>
    <w:rsid w:val="001D064F"/>
    <w:rsid w:val="001E2002"/>
    <w:rsid w:val="001F3647"/>
    <w:rsid w:val="00207768"/>
    <w:rsid w:val="002161AB"/>
    <w:rsid w:val="00291EE0"/>
    <w:rsid w:val="002966E1"/>
    <w:rsid w:val="002A7DC8"/>
    <w:rsid w:val="002C6DCC"/>
    <w:rsid w:val="002E2469"/>
    <w:rsid w:val="00305EF9"/>
    <w:rsid w:val="003266B6"/>
    <w:rsid w:val="003A5CCB"/>
    <w:rsid w:val="003A67C4"/>
    <w:rsid w:val="003B03A1"/>
    <w:rsid w:val="003C0A05"/>
    <w:rsid w:val="003C367E"/>
    <w:rsid w:val="003D0FB1"/>
    <w:rsid w:val="003D55B1"/>
    <w:rsid w:val="00412555"/>
    <w:rsid w:val="0044772B"/>
    <w:rsid w:val="00472E66"/>
    <w:rsid w:val="00493249"/>
    <w:rsid w:val="004B1CDE"/>
    <w:rsid w:val="004B4FCB"/>
    <w:rsid w:val="004B612C"/>
    <w:rsid w:val="004D3B48"/>
    <w:rsid w:val="005020BC"/>
    <w:rsid w:val="00571129"/>
    <w:rsid w:val="00573510"/>
    <w:rsid w:val="00584261"/>
    <w:rsid w:val="005923EE"/>
    <w:rsid w:val="0059556B"/>
    <w:rsid w:val="005B23AB"/>
    <w:rsid w:val="00600945"/>
    <w:rsid w:val="00623115"/>
    <w:rsid w:val="00623903"/>
    <w:rsid w:val="006430E4"/>
    <w:rsid w:val="006A3BBD"/>
    <w:rsid w:val="006A4707"/>
    <w:rsid w:val="006E0126"/>
    <w:rsid w:val="006E6699"/>
    <w:rsid w:val="007472DE"/>
    <w:rsid w:val="0077211C"/>
    <w:rsid w:val="00783C90"/>
    <w:rsid w:val="00787F25"/>
    <w:rsid w:val="007C08F5"/>
    <w:rsid w:val="007D642A"/>
    <w:rsid w:val="007F38F2"/>
    <w:rsid w:val="008718F5"/>
    <w:rsid w:val="008B0482"/>
    <w:rsid w:val="0095743D"/>
    <w:rsid w:val="009731BB"/>
    <w:rsid w:val="009754CE"/>
    <w:rsid w:val="0098213C"/>
    <w:rsid w:val="009869B4"/>
    <w:rsid w:val="00992AB6"/>
    <w:rsid w:val="009A4994"/>
    <w:rsid w:val="009D63D4"/>
    <w:rsid w:val="009E2C1C"/>
    <w:rsid w:val="009F0CC8"/>
    <w:rsid w:val="009F57D4"/>
    <w:rsid w:val="00A20827"/>
    <w:rsid w:val="00A3704E"/>
    <w:rsid w:val="00A501DA"/>
    <w:rsid w:val="00A9600D"/>
    <w:rsid w:val="00AC02AD"/>
    <w:rsid w:val="00B154FC"/>
    <w:rsid w:val="00B5670E"/>
    <w:rsid w:val="00B676D0"/>
    <w:rsid w:val="00B81176"/>
    <w:rsid w:val="00B8466C"/>
    <w:rsid w:val="00BB5FBA"/>
    <w:rsid w:val="00BD35D5"/>
    <w:rsid w:val="00BD4395"/>
    <w:rsid w:val="00BE42EE"/>
    <w:rsid w:val="00C1124F"/>
    <w:rsid w:val="00C2161E"/>
    <w:rsid w:val="00C4615A"/>
    <w:rsid w:val="00C679FC"/>
    <w:rsid w:val="00C71B6B"/>
    <w:rsid w:val="00C77236"/>
    <w:rsid w:val="00C804E0"/>
    <w:rsid w:val="00C85343"/>
    <w:rsid w:val="00C876C6"/>
    <w:rsid w:val="00CC01FD"/>
    <w:rsid w:val="00CD10D3"/>
    <w:rsid w:val="00D52D45"/>
    <w:rsid w:val="00D62DEC"/>
    <w:rsid w:val="00D85B4E"/>
    <w:rsid w:val="00D90057"/>
    <w:rsid w:val="00D95487"/>
    <w:rsid w:val="00DB2C93"/>
    <w:rsid w:val="00DC238A"/>
    <w:rsid w:val="00E06484"/>
    <w:rsid w:val="00E3072D"/>
    <w:rsid w:val="00E33E64"/>
    <w:rsid w:val="00E72631"/>
    <w:rsid w:val="00E862C1"/>
    <w:rsid w:val="00E87A1D"/>
    <w:rsid w:val="00E87B35"/>
    <w:rsid w:val="00E918BF"/>
    <w:rsid w:val="00EA36F3"/>
    <w:rsid w:val="00EC0919"/>
    <w:rsid w:val="00ED007C"/>
    <w:rsid w:val="00EF0AB6"/>
    <w:rsid w:val="00EF3214"/>
    <w:rsid w:val="00F03929"/>
    <w:rsid w:val="00F713A6"/>
    <w:rsid w:val="00F85A9F"/>
    <w:rsid w:val="00F95BBA"/>
    <w:rsid w:val="00FB105C"/>
    <w:rsid w:val="00FC4034"/>
    <w:rsid w:val="00FD04F0"/>
    <w:rsid w:val="00FF73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5E634C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72B"/>
    <w:pPr>
      <w:ind w:left="720"/>
      <w:contextualSpacing/>
    </w:pPr>
  </w:style>
  <w:style w:type="paragraph" w:styleId="BalloonText">
    <w:name w:val="Balloon Text"/>
    <w:basedOn w:val="Normal"/>
    <w:link w:val="BalloonTextChar"/>
    <w:uiPriority w:val="99"/>
    <w:semiHidden/>
    <w:unhideWhenUsed/>
    <w:rsid w:val="00305E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05EF9"/>
    <w:rPr>
      <w:rFonts w:ascii="Lucida Grande" w:hAnsi="Lucida Grande" w:cs="Lucida Grande"/>
      <w:sz w:val="18"/>
      <w:szCs w:val="18"/>
    </w:rPr>
  </w:style>
  <w:style w:type="paragraph" w:styleId="Caption">
    <w:name w:val="caption"/>
    <w:basedOn w:val="Normal"/>
    <w:next w:val="Normal"/>
    <w:uiPriority w:val="35"/>
    <w:unhideWhenUsed/>
    <w:qFormat/>
    <w:rsid w:val="00305EF9"/>
    <w:pPr>
      <w:spacing w:after="200"/>
    </w:pPr>
    <w:rPr>
      <w:b/>
      <w:bCs/>
      <w:color w:val="4F81BD" w:themeColor="accent1"/>
      <w:sz w:val="18"/>
      <w:szCs w:val="18"/>
    </w:rPr>
  </w:style>
  <w:style w:type="character" w:styleId="Hyperlink">
    <w:name w:val="Hyperlink"/>
    <w:basedOn w:val="DefaultParagraphFont"/>
    <w:uiPriority w:val="99"/>
    <w:unhideWhenUsed/>
    <w:rsid w:val="00623115"/>
    <w:rPr>
      <w:color w:val="0000FF" w:themeColor="hyperlink"/>
      <w:u w:val="single"/>
    </w:rPr>
  </w:style>
  <w:style w:type="character" w:styleId="CommentReference">
    <w:name w:val="annotation reference"/>
    <w:basedOn w:val="DefaultParagraphFont"/>
    <w:uiPriority w:val="99"/>
    <w:semiHidden/>
    <w:unhideWhenUsed/>
    <w:rsid w:val="00B154FC"/>
    <w:rPr>
      <w:sz w:val="18"/>
      <w:szCs w:val="18"/>
    </w:rPr>
  </w:style>
  <w:style w:type="paragraph" w:styleId="CommentText">
    <w:name w:val="annotation text"/>
    <w:basedOn w:val="Normal"/>
    <w:link w:val="CommentTextChar"/>
    <w:uiPriority w:val="99"/>
    <w:semiHidden/>
    <w:unhideWhenUsed/>
    <w:rsid w:val="00B154FC"/>
  </w:style>
  <w:style w:type="character" w:customStyle="1" w:styleId="CommentTextChar">
    <w:name w:val="Comment Text Char"/>
    <w:basedOn w:val="DefaultParagraphFont"/>
    <w:link w:val="CommentText"/>
    <w:uiPriority w:val="99"/>
    <w:semiHidden/>
    <w:rsid w:val="00B154FC"/>
  </w:style>
  <w:style w:type="paragraph" w:styleId="CommentSubject">
    <w:name w:val="annotation subject"/>
    <w:basedOn w:val="CommentText"/>
    <w:next w:val="CommentText"/>
    <w:link w:val="CommentSubjectChar"/>
    <w:uiPriority w:val="99"/>
    <w:semiHidden/>
    <w:unhideWhenUsed/>
    <w:rsid w:val="00B154FC"/>
    <w:rPr>
      <w:b/>
      <w:bCs/>
      <w:sz w:val="20"/>
      <w:szCs w:val="20"/>
    </w:rPr>
  </w:style>
  <w:style w:type="character" w:customStyle="1" w:styleId="CommentSubjectChar">
    <w:name w:val="Comment Subject Char"/>
    <w:basedOn w:val="CommentTextChar"/>
    <w:link w:val="CommentSubject"/>
    <w:uiPriority w:val="99"/>
    <w:semiHidden/>
    <w:rsid w:val="00B154FC"/>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772B"/>
    <w:pPr>
      <w:ind w:left="720"/>
      <w:contextualSpacing/>
    </w:pPr>
  </w:style>
  <w:style w:type="paragraph" w:styleId="BalloonText">
    <w:name w:val="Balloon Text"/>
    <w:basedOn w:val="Normal"/>
    <w:link w:val="BalloonTextChar"/>
    <w:uiPriority w:val="99"/>
    <w:semiHidden/>
    <w:unhideWhenUsed/>
    <w:rsid w:val="00305EF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05EF9"/>
    <w:rPr>
      <w:rFonts w:ascii="Lucida Grande" w:hAnsi="Lucida Grande" w:cs="Lucida Grande"/>
      <w:sz w:val="18"/>
      <w:szCs w:val="18"/>
    </w:rPr>
  </w:style>
  <w:style w:type="paragraph" w:styleId="Caption">
    <w:name w:val="caption"/>
    <w:basedOn w:val="Normal"/>
    <w:next w:val="Normal"/>
    <w:uiPriority w:val="35"/>
    <w:unhideWhenUsed/>
    <w:qFormat/>
    <w:rsid w:val="00305EF9"/>
    <w:pPr>
      <w:spacing w:after="200"/>
    </w:pPr>
    <w:rPr>
      <w:b/>
      <w:bCs/>
      <w:color w:val="4F81BD" w:themeColor="accent1"/>
      <w:sz w:val="18"/>
      <w:szCs w:val="18"/>
    </w:rPr>
  </w:style>
  <w:style w:type="character" w:styleId="Hyperlink">
    <w:name w:val="Hyperlink"/>
    <w:basedOn w:val="DefaultParagraphFont"/>
    <w:uiPriority w:val="99"/>
    <w:unhideWhenUsed/>
    <w:rsid w:val="00623115"/>
    <w:rPr>
      <w:color w:val="0000FF" w:themeColor="hyperlink"/>
      <w:u w:val="single"/>
    </w:rPr>
  </w:style>
  <w:style w:type="character" w:styleId="CommentReference">
    <w:name w:val="annotation reference"/>
    <w:basedOn w:val="DefaultParagraphFont"/>
    <w:uiPriority w:val="99"/>
    <w:semiHidden/>
    <w:unhideWhenUsed/>
    <w:rsid w:val="00B154FC"/>
    <w:rPr>
      <w:sz w:val="18"/>
      <w:szCs w:val="18"/>
    </w:rPr>
  </w:style>
  <w:style w:type="paragraph" w:styleId="CommentText">
    <w:name w:val="annotation text"/>
    <w:basedOn w:val="Normal"/>
    <w:link w:val="CommentTextChar"/>
    <w:uiPriority w:val="99"/>
    <w:semiHidden/>
    <w:unhideWhenUsed/>
    <w:rsid w:val="00B154FC"/>
  </w:style>
  <w:style w:type="character" w:customStyle="1" w:styleId="CommentTextChar">
    <w:name w:val="Comment Text Char"/>
    <w:basedOn w:val="DefaultParagraphFont"/>
    <w:link w:val="CommentText"/>
    <w:uiPriority w:val="99"/>
    <w:semiHidden/>
    <w:rsid w:val="00B154FC"/>
  </w:style>
  <w:style w:type="paragraph" w:styleId="CommentSubject">
    <w:name w:val="annotation subject"/>
    <w:basedOn w:val="CommentText"/>
    <w:next w:val="CommentText"/>
    <w:link w:val="CommentSubjectChar"/>
    <w:uiPriority w:val="99"/>
    <w:semiHidden/>
    <w:unhideWhenUsed/>
    <w:rsid w:val="00B154FC"/>
    <w:rPr>
      <w:b/>
      <w:bCs/>
      <w:sz w:val="20"/>
      <w:szCs w:val="20"/>
    </w:rPr>
  </w:style>
  <w:style w:type="character" w:customStyle="1" w:styleId="CommentSubjectChar">
    <w:name w:val="Comment Subject Char"/>
    <w:basedOn w:val="CommentTextChar"/>
    <w:link w:val="CommentSubject"/>
    <w:uiPriority w:val="99"/>
    <w:semiHidden/>
    <w:rsid w:val="00B154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genomebiology.com/2014/15/12/554" TargetMode="Externa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899</TotalTime>
  <Pages>9</Pages>
  <Words>3298</Words>
  <Characters>18801</Characters>
  <Application>Microsoft Macintosh Word</Application>
  <DocSecurity>0</DocSecurity>
  <Lines>156</Lines>
  <Paragraphs>44</Paragraphs>
  <ScaleCrop>false</ScaleCrop>
  <Company>Genentech, Inc. </Company>
  <LinksUpToDate>false</LinksUpToDate>
  <CharactersWithSpaces>22055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 Bainer</dc:creator>
  <cp:keywords/>
  <dc:description/>
  <cp:lastModifiedBy>Russell Bainer</cp:lastModifiedBy>
  <cp:revision>59</cp:revision>
  <dcterms:created xsi:type="dcterms:W3CDTF">2015-06-27T00:07:00Z</dcterms:created>
  <dcterms:modified xsi:type="dcterms:W3CDTF">2016-06-16T16:17:00Z</dcterms:modified>
</cp:coreProperties>
</file>