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US, Latinxs are often treated in quantitative terms—as checkmarks on census forms, or as data points in demographic surveys.</w:t>
      </w:r>
      <w:r>
        <w:br/>
      </w:r>
      <w:r>
        <w:t>"With our interdisciplinary and intersectional approach, we will consider why Latinidad has manifested differently in colonial territories (especially Puerto Rico), regional communities (especially the US–Mexico borderlands), and transnational diasporas (of Cubans, of Dominicans, and of a variety of Central Americans)."</w:t>
      </w:r>
    </w:p>
    <w:p>
      <w:r>
        <w:t>Smith emphasizes the importance of industrialization:</w:t>
      </w:r>
      <w:r>
        <w:br/>
      </w:r>
      <w:r>
        <w:t xml:space="preserve">    The Industrial Revolution fundamentally transformed social</w:t>
      </w:r>
      <w:r>
        <w:br/>
      </w:r>
      <w:r>
        <w:t xml:space="preserve">    structures and economic relations. Workers moved from rural</w:t>
      </w:r>
      <w:r>
        <w:br/>
      </w:r>
      <w:r>
        <w:t xml:space="preserve">    areas to rapidly expanding cities, and new forms of labor</w:t>
      </w:r>
      <w:r>
        <w:br/>
      </w:r>
      <w:r>
        <w:t xml:space="preserve">    organization emerged. (Smith 42)</w:t>
      </w:r>
      <w:r>
        <w:br/>
      </w:r>
      <w:r>
        <w:t>This shift had far-reaching consequences for modern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