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4CE5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会议主题：仓位管理与技术指标实战培训</w:t>
      </w:r>
    </w:p>
    <w:p w14:paraId="5F7EC12F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发言人：</w:t>
      </w:r>
      <w:r>
        <w:rPr>
          <w:rFonts w:hint="eastAsia"/>
        </w:rPr>
        <w:t>Topman</w:t>
      </w:r>
      <w:r>
        <w:rPr>
          <w:rFonts w:hint="eastAsia"/>
        </w:rPr>
        <w:t>高总、</w:t>
      </w:r>
      <w:r>
        <w:rPr>
          <w:rFonts w:hint="eastAsia"/>
        </w:rPr>
        <w:t>KUN</w:t>
      </w:r>
      <w:r>
        <w:rPr>
          <w:rFonts w:hint="eastAsia"/>
        </w:rPr>
        <w:t>、豪门金玉、</w:t>
      </w:r>
      <w:r>
        <w:rPr>
          <w:rFonts w:hint="eastAsia"/>
        </w:rPr>
        <w:t xml:space="preserve">KUN </w:t>
      </w:r>
      <w:r>
        <w:rPr>
          <w:rFonts w:hint="eastAsia"/>
        </w:rPr>
        <w:t>共享音频、斌哥</w:t>
      </w:r>
    </w:p>
    <w:p w14:paraId="1CC619AB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会议摘要：本次培训高总详细讲解了资金分层策略与盈亏比计算逻辑，深度剖析了</w:t>
      </w:r>
      <w:r>
        <w:rPr>
          <w:rFonts w:hint="eastAsia"/>
        </w:rPr>
        <w:t xml:space="preserve"> MACD </w:t>
      </w:r>
      <w:r>
        <w:rPr>
          <w:rFonts w:hint="eastAsia"/>
        </w:rPr>
        <w:t>背离、斐波那契回调及</w:t>
      </w:r>
      <w:r>
        <w:rPr>
          <w:rFonts w:hint="eastAsia"/>
        </w:rPr>
        <w:t xml:space="preserve"> STO </w:t>
      </w:r>
      <w:r>
        <w:rPr>
          <w:rFonts w:hint="eastAsia"/>
        </w:rPr>
        <w:t>指标在波段交易中的应用，并结合实盘案例演示了黄金与白银的做空策略。</w:t>
      </w:r>
    </w:p>
    <w:p w14:paraId="76D376AE" w14:textId="77777777" w:rsidR="00EC5F7A" w:rsidRDefault="00EC5F7A" w:rsidP="00EC5F7A">
      <w:r>
        <w:t>---</w:t>
      </w:r>
    </w:p>
    <w:p w14:paraId="297CEEF1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一、资金管理与盈亏比策略</w:t>
      </w:r>
    </w:p>
    <w:p w14:paraId="38E76599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针对不同体量的资金，主讲人提出了差异化的管理方案，并强调了盈亏比对交易结果的决定性作用：</w:t>
      </w:r>
    </w:p>
    <w:p w14:paraId="20317474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资金规模与分仓标准</w:t>
      </w:r>
    </w:p>
    <w:p w14:paraId="244D3FC3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大小资金界定：明确划分了资金门槛，</w:t>
      </w:r>
      <w:r>
        <w:rPr>
          <w:rFonts w:hint="eastAsia"/>
        </w:rPr>
        <w:t>5</w:t>
      </w:r>
      <w:r>
        <w:rPr>
          <w:rFonts w:hint="eastAsia"/>
        </w:rPr>
        <w:t>万</w:t>
      </w:r>
      <w:r>
        <w:rPr>
          <w:rFonts w:hint="eastAsia"/>
        </w:rPr>
        <w:t>U</w:t>
      </w:r>
      <w:r>
        <w:rPr>
          <w:rFonts w:hint="eastAsia"/>
        </w:rPr>
        <w:t>以上为大资金，</w:t>
      </w:r>
      <w:r>
        <w:rPr>
          <w:rFonts w:hint="eastAsia"/>
        </w:rPr>
        <w:t>1</w:t>
      </w:r>
      <w:r>
        <w:rPr>
          <w:rFonts w:hint="eastAsia"/>
        </w:rPr>
        <w:t>万</w:t>
      </w:r>
      <w:r>
        <w:rPr>
          <w:rFonts w:hint="eastAsia"/>
        </w:rPr>
        <w:t>U</w:t>
      </w:r>
      <w:r>
        <w:rPr>
          <w:rFonts w:hint="eastAsia"/>
        </w:rPr>
        <w:t>以下为小资金。</w:t>
      </w:r>
    </w:p>
    <w:p w14:paraId="4293E977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分仓数量要求：大资金（</w:t>
      </w:r>
      <w:r>
        <w:rPr>
          <w:rFonts w:hint="eastAsia"/>
        </w:rPr>
        <w:t>5</w:t>
      </w:r>
      <w:r>
        <w:rPr>
          <w:rFonts w:hint="eastAsia"/>
        </w:rPr>
        <w:t>万</w:t>
      </w:r>
      <w:r>
        <w:rPr>
          <w:rFonts w:hint="eastAsia"/>
        </w:rPr>
        <w:t>U</w:t>
      </w:r>
      <w:r>
        <w:rPr>
          <w:rFonts w:hint="eastAsia"/>
        </w:rPr>
        <w:t>以上）需分割为</w:t>
      </w:r>
      <w:r>
        <w:rPr>
          <w:rFonts w:hint="eastAsia"/>
        </w:rPr>
        <w:t>50</w:t>
      </w:r>
      <w:r>
        <w:rPr>
          <w:rFonts w:hint="eastAsia"/>
        </w:rPr>
        <w:t>份以上，每份约</w:t>
      </w:r>
      <w:r>
        <w:rPr>
          <w:rFonts w:hint="eastAsia"/>
        </w:rPr>
        <w:t>1000U</w:t>
      </w:r>
      <w:r>
        <w:rPr>
          <w:rFonts w:hint="eastAsia"/>
        </w:rPr>
        <w:t>；小资金（</w:t>
      </w:r>
      <w:r>
        <w:rPr>
          <w:rFonts w:hint="eastAsia"/>
        </w:rPr>
        <w:t>1</w:t>
      </w:r>
      <w:r>
        <w:rPr>
          <w:rFonts w:hint="eastAsia"/>
        </w:rPr>
        <w:t>万</w:t>
      </w:r>
      <w:r>
        <w:rPr>
          <w:rFonts w:hint="eastAsia"/>
        </w:rPr>
        <w:t>U</w:t>
      </w:r>
      <w:r>
        <w:rPr>
          <w:rFonts w:hint="eastAsia"/>
        </w:rPr>
        <w:t>以下）建议分为</w:t>
      </w:r>
      <w:r>
        <w:rPr>
          <w:rFonts w:hint="eastAsia"/>
        </w:rPr>
        <w:t>10-20</w:t>
      </w:r>
      <w:r>
        <w:rPr>
          <w:rFonts w:hint="eastAsia"/>
        </w:rPr>
        <w:t>份，极小额资金（如</w:t>
      </w:r>
      <w:r>
        <w:rPr>
          <w:rFonts w:hint="eastAsia"/>
        </w:rPr>
        <w:t>500U</w:t>
      </w:r>
      <w:r>
        <w:rPr>
          <w:rFonts w:hint="eastAsia"/>
        </w:rPr>
        <w:t>）也应至少分为</w:t>
      </w:r>
      <w:r>
        <w:rPr>
          <w:rFonts w:hint="eastAsia"/>
        </w:rPr>
        <w:t>5</w:t>
      </w:r>
      <w:r>
        <w:rPr>
          <w:rFonts w:hint="eastAsia"/>
        </w:rPr>
        <w:t>份操作。</w:t>
      </w:r>
    </w:p>
    <w:p w14:paraId="3F705AF7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容错率提升：强调分仓的核心在于增加交易机会，降低单次亏损对整体账户的影响，严禁全仓梭哈。</w:t>
      </w:r>
    </w:p>
    <w:p w14:paraId="545E7C50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盈亏比计算与胜率关系</w:t>
      </w:r>
    </w:p>
    <w:p w14:paraId="47D3E6F3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盈亏比定义：核心公式为“盈利点数</w:t>
      </w:r>
      <w:r>
        <w:rPr>
          <w:rFonts w:hint="eastAsia"/>
        </w:rPr>
        <w:t xml:space="preserve"> / </w:t>
      </w:r>
      <w:r>
        <w:rPr>
          <w:rFonts w:hint="eastAsia"/>
        </w:rPr>
        <w:t>亏损点数”。主讲人指出，即使胜率较低，只要盈亏比足够高，依然可以盈利。</w:t>
      </w:r>
    </w:p>
    <w:p w14:paraId="274FC29C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胜率盈亏平衡点：当盈亏比为</w:t>
      </w:r>
      <w:r>
        <w:rPr>
          <w:rFonts w:hint="eastAsia"/>
        </w:rPr>
        <w:t>1:1</w:t>
      </w:r>
      <w:r>
        <w:rPr>
          <w:rFonts w:hint="eastAsia"/>
        </w:rPr>
        <w:t>时，需要</w:t>
      </w:r>
      <w:r>
        <w:rPr>
          <w:rFonts w:hint="eastAsia"/>
        </w:rPr>
        <w:t>60%</w:t>
      </w:r>
      <w:r>
        <w:rPr>
          <w:rFonts w:hint="eastAsia"/>
        </w:rPr>
        <w:t>以上的胜率才能盈利；当盈亏比为</w:t>
      </w:r>
      <w:r>
        <w:rPr>
          <w:rFonts w:hint="eastAsia"/>
        </w:rPr>
        <w:t>1:2</w:t>
      </w:r>
      <w:r>
        <w:rPr>
          <w:rFonts w:hint="eastAsia"/>
        </w:rPr>
        <w:t>时，仅需</w:t>
      </w:r>
      <w:r>
        <w:rPr>
          <w:rFonts w:hint="eastAsia"/>
        </w:rPr>
        <w:t>40%</w:t>
      </w:r>
      <w:r>
        <w:rPr>
          <w:rFonts w:hint="eastAsia"/>
        </w:rPr>
        <w:t>胜率即可盈利；当盈亏比达到</w:t>
      </w:r>
      <w:r>
        <w:rPr>
          <w:rFonts w:hint="eastAsia"/>
        </w:rPr>
        <w:t>1:3</w:t>
      </w:r>
      <w:r>
        <w:rPr>
          <w:rFonts w:hint="eastAsia"/>
        </w:rPr>
        <w:t>时，胜率只需</w:t>
      </w:r>
      <w:r>
        <w:rPr>
          <w:rFonts w:hint="eastAsia"/>
        </w:rPr>
        <w:t>30%</w:t>
      </w:r>
      <w:r>
        <w:rPr>
          <w:rFonts w:hint="eastAsia"/>
        </w:rPr>
        <w:t>就能实现盈利。</w:t>
      </w:r>
    </w:p>
    <w:p w14:paraId="39E99557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目标设定：主讲人个人基础范围要求盈亏比不低于</w:t>
      </w:r>
      <w:r>
        <w:rPr>
          <w:rFonts w:hint="eastAsia"/>
        </w:rPr>
        <w:t>1:3</w:t>
      </w:r>
      <w:r>
        <w:rPr>
          <w:rFonts w:hint="eastAsia"/>
        </w:rPr>
        <w:t>，实际交易中常追求</w:t>
      </w:r>
      <w:r>
        <w:rPr>
          <w:rFonts w:hint="eastAsia"/>
        </w:rPr>
        <w:t>1:10</w:t>
      </w:r>
      <w:r>
        <w:rPr>
          <w:rFonts w:hint="eastAsia"/>
        </w:rPr>
        <w:t>甚至更高的回报率。</w:t>
      </w:r>
    </w:p>
    <w:p w14:paraId="51130D0F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二、核心技术指标应用解析</w:t>
      </w:r>
    </w:p>
    <w:p w14:paraId="62E8EC36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会议重点回顾了支撑阻力概念，并深入讲解了</w:t>
      </w:r>
      <w:r>
        <w:rPr>
          <w:rFonts w:hint="eastAsia"/>
        </w:rPr>
        <w:t>MACD</w:t>
      </w:r>
      <w:r>
        <w:rPr>
          <w:rFonts w:hint="eastAsia"/>
        </w:rPr>
        <w:t>、</w:t>
      </w:r>
      <w:r>
        <w:rPr>
          <w:rFonts w:hint="eastAsia"/>
        </w:rPr>
        <w:t>STO</w:t>
      </w:r>
      <w:r>
        <w:rPr>
          <w:rFonts w:hint="eastAsia"/>
        </w:rPr>
        <w:t>及斐波那契三大指标的实战用法：</w:t>
      </w:r>
    </w:p>
    <w:p w14:paraId="1CBAC5CF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1. MACD </w:t>
      </w:r>
      <w:r>
        <w:rPr>
          <w:rFonts w:hint="eastAsia"/>
        </w:rPr>
        <w:t>指标的高级用法</w:t>
      </w:r>
    </w:p>
    <w:p w14:paraId="44436925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零轴的多空转换：</w:t>
      </w:r>
      <w:r>
        <w:rPr>
          <w:rFonts w:hint="eastAsia"/>
        </w:rPr>
        <w:t>EMA52</w:t>
      </w:r>
      <w:r>
        <w:rPr>
          <w:rFonts w:hint="eastAsia"/>
        </w:rPr>
        <w:t>均线被视为价格图上的“零轴”，上涨趋势中回踩零轴视为支撑，下跌趋势中反弹至零轴视为阻力。</w:t>
      </w:r>
    </w:p>
    <w:p w14:paraId="69258D33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顶底背离判定：当价格创出新高</w:t>
      </w:r>
      <w:r>
        <w:rPr>
          <w:rFonts w:hint="eastAsia"/>
        </w:rPr>
        <w:t>/</w:t>
      </w:r>
      <w:r>
        <w:rPr>
          <w:rFonts w:hint="eastAsia"/>
        </w:rPr>
        <w:t>新低而</w:t>
      </w:r>
      <w:r>
        <w:rPr>
          <w:rFonts w:hint="eastAsia"/>
        </w:rPr>
        <w:t>MACD</w:t>
      </w:r>
      <w:r>
        <w:rPr>
          <w:rFonts w:hint="eastAsia"/>
        </w:rPr>
        <w:t>快慢线未能跟随创新高</w:t>
      </w:r>
      <w:r>
        <w:rPr>
          <w:rFonts w:hint="eastAsia"/>
        </w:rPr>
        <w:t>/</w:t>
      </w:r>
      <w:r>
        <w:rPr>
          <w:rFonts w:hint="eastAsia"/>
        </w:rPr>
        <w:t>新低时，形成背离信号，通常预示趋势反转。</w:t>
      </w:r>
    </w:p>
    <w:p w14:paraId="60A6D8C8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时间级别共振：强调利用大周期（如周图、月图、</w:t>
      </w:r>
      <w:r>
        <w:rPr>
          <w:rFonts w:hint="eastAsia"/>
        </w:rPr>
        <w:t>45</w:t>
      </w:r>
      <w:r>
        <w:rPr>
          <w:rFonts w:hint="eastAsia"/>
        </w:rPr>
        <w:t>天图）的</w:t>
      </w:r>
      <w:r>
        <w:rPr>
          <w:rFonts w:hint="eastAsia"/>
        </w:rPr>
        <w:t>MACD</w:t>
      </w:r>
      <w:r>
        <w:rPr>
          <w:rFonts w:hint="eastAsia"/>
        </w:rPr>
        <w:t>形态来过滤小周期的噪音，提高交易胜率。</w:t>
      </w:r>
    </w:p>
    <w:p w14:paraId="7BD76923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2. STO </w:t>
      </w:r>
      <w:r>
        <w:rPr>
          <w:rFonts w:hint="eastAsia"/>
        </w:rPr>
        <w:t>随机强弱指标</w:t>
      </w:r>
    </w:p>
    <w:p w14:paraId="11E966EB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参数优化设置：推荐将指标参数调整为（</w:t>
      </w:r>
      <w:r>
        <w:rPr>
          <w:rFonts w:hint="eastAsia"/>
        </w:rPr>
        <w:t>9,3,3</w:t>
      </w:r>
      <w:r>
        <w:rPr>
          <w:rFonts w:hint="eastAsia"/>
        </w:rPr>
        <w:t>），以提升信号的灵敏度。</w:t>
      </w:r>
    </w:p>
    <w:p w14:paraId="421DFAF2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超买超卖区域识别：关注</w:t>
      </w:r>
      <w:r>
        <w:rPr>
          <w:rFonts w:hint="eastAsia"/>
        </w:rPr>
        <w:t>80</w:t>
      </w:r>
      <w:r>
        <w:rPr>
          <w:rFonts w:hint="eastAsia"/>
        </w:rPr>
        <w:t>上方的超买区和</w:t>
      </w:r>
      <w:r>
        <w:rPr>
          <w:rFonts w:hint="eastAsia"/>
        </w:rPr>
        <w:t>20</w:t>
      </w:r>
      <w:r>
        <w:rPr>
          <w:rFonts w:hint="eastAsia"/>
        </w:rPr>
        <w:t>下方的超卖区，结合</w:t>
      </w:r>
      <w:r>
        <w:rPr>
          <w:rFonts w:hint="eastAsia"/>
        </w:rPr>
        <w:t>K</w:t>
      </w:r>
      <w:r>
        <w:rPr>
          <w:rFonts w:hint="eastAsia"/>
        </w:rPr>
        <w:t>线形态判断波段终点。</w:t>
      </w:r>
    </w:p>
    <w:p w14:paraId="1330EAE3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lastRenderedPageBreak/>
        <w:t>箱体震荡交易法：利用</w:t>
      </w:r>
      <w:r>
        <w:rPr>
          <w:rFonts w:hint="eastAsia"/>
        </w:rPr>
        <w:t>STO</w:t>
      </w:r>
      <w:r>
        <w:rPr>
          <w:rFonts w:hint="eastAsia"/>
        </w:rPr>
        <w:t>指标辅助识别价格的箱体区间，在箱体底部寻找买入机会，顶部寻找卖出机会。</w:t>
      </w:r>
    </w:p>
    <w:p w14:paraId="56AFB931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斐波那契回调工具</w:t>
      </w:r>
    </w:p>
    <w:p w14:paraId="2E606584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关键回调位：重点关注</w:t>
      </w:r>
      <w:r>
        <w:rPr>
          <w:rFonts w:hint="eastAsia"/>
        </w:rPr>
        <w:t>50%</w:t>
      </w:r>
      <w:r>
        <w:rPr>
          <w:rFonts w:hint="eastAsia"/>
        </w:rPr>
        <w:t>、</w:t>
      </w:r>
      <w:r>
        <w:rPr>
          <w:rFonts w:hint="eastAsia"/>
        </w:rPr>
        <w:t>61.8%</w:t>
      </w:r>
      <w:r>
        <w:rPr>
          <w:rFonts w:hint="eastAsia"/>
        </w:rPr>
        <w:t>（黄金分割）、</w:t>
      </w:r>
      <w:r>
        <w:rPr>
          <w:rFonts w:hint="eastAsia"/>
        </w:rPr>
        <w:t>78.6%</w:t>
      </w:r>
      <w:r>
        <w:rPr>
          <w:rFonts w:hint="eastAsia"/>
        </w:rPr>
        <w:t>这三个关键比例位，将其作为潜在的反转或加仓区域。</w:t>
      </w:r>
    </w:p>
    <w:p w14:paraId="43235531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延伸应用：在强势行情中，可反向使用斐波那契延伸线（从低点到高点拉取），寻找潜在的阻力或支撑目标位。</w:t>
      </w:r>
    </w:p>
    <w:p w14:paraId="3D880348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三、实盘策略部署与复盘</w:t>
      </w:r>
    </w:p>
    <w:p w14:paraId="25F2A9C4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基于上述分析框架，主讲人对当前市场进行了研判并给出了具体的交易指令：</w:t>
      </w:r>
    </w:p>
    <w:p w14:paraId="6967780D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比特币（</w:t>
      </w:r>
      <w:r>
        <w:rPr>
          <w:rFonts w:hint="eastAsia"/>
        </w:rPr>
        <w:t>BTC</w:t>
      </w:r>
      <w:r>
        <w:rPr>
          <w:rFonts w:hint="eastAsia"/>
        </w:rPr>
        <w:t>）与以太坊（</w:t>
      </w:r>
      <w:r>
        <w:rPr>
          <w:rFonts w:hint="eastAsia"/>
        </w:rPr>
        <w:t>ETH</w:t>
      </w:r>
      <w:r>
        <w:rPr>
          <w:rFonts w:hint="eastAsia"/>
        </w:rPr>
        <w:t>）</w:t>
      </w:r>
    </w:p>
    <w:p w14:paraId="41757F3D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BTC </w:t>
      </w:r>
      <w:r>
        <w:rPr>
          <w:rFonts w:hint="eastAsia"/>
        </w:rPr>
        <w:t>短线看空：基于</w:t>
      </w:r>
      <w:r>
        <w:rPr>
          <w:rFonts w:hint="eastAsia"/>
        </w:rPr>
        <w:t>4</w:t>
      </w:r>
      <w:r>
        <w:rPr>
          <w:rFonts w:hint="eastAsia"/>
        </w:rPr>
        <w:t>小时级别受阻及斐波那契测算，给出现价</w:t>
      </w:r>
      <w:r>
        <w:rPr>
          <w:rFonts w:hint="eastAsia"/>
        </w:rPr>
        <w:t>63700</w:t>
      </w:r>
      <w:r>
        <w:rPr>
          <w:rFonts w:hint="eastAsia"/>
        </w:rPr>
        <w:t>附近做空策略，止损</w:t>
      </w:r>
      <w:r>
        <w:rPr>
          <w:rFonts w:hint="eastAsia"/>
        </w:rPr>
        <w:t>65600</w:t>
      </w:r>
      <w:r>
        <w:rPr>
          <w:rFonts w:hint="eastAsia"/>
        </w:rPr>
        <w:t>，目标</w:t>
      </w:r>
      <w:r>
        <w:rPr>
          <w:rFonts w:hint="eastAsia"/>
        </w:rPr>
        <w:t>59000-59100</w:t>
      </w:r>
      <w:r>
        <w:rPr>
          <w:rFonts w:hint="eastAsia"/>
        </w:rPr>
        <w:t>。</w:t>
      </w:r>
    </w:p>
    <w:p w14:paraId="539F0BF2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ETH </w:t>
      </w:r>
      <w:r>
        <w:rPr>
          <w:rFonts w:hint="eastAsia"/>
        </w:rPr>
        <w:t>同步做空：给出</w:t>
      </w:r>
      <w:r>
        <w:rPr>
          <w:rFonts w:hint="eastAsia"/>
        </w:rPr>
        <w:t>1689</w:t>
      </w:r>
      <w:r>
        <w:rPr>
          <w:rFonts w:hint="eastAsia"/>
        </w:rPr>
        <w:t>进场做空策略，止损</w:t>
      </w:r>
      <w:r>
        <w:rPr>
          <w:rFonts w:hint="eastAsia"/>
        </w:rPr>
        <w:t>1760</w:t>
      </w:r>
      <w:r>
        <w:rPr>
          <w:rFonts w:hint="eastAsia"/>
        </w:rPr>
        <w:t>，第一目标</w:t>
      </w:r>
      <w:r>
        <w:rPr>
          <w:rFonts w:hint="eastAsia"/>
        </w:rPr>
        <w:t>1505</w:t>
      </w:r>
      <w:r>
        <w:rPr>
          <w:rFonts w:hint="eastAsia"/>
        </w:rPr>
        <w:t>。</w:t>
      </w:r>
    </w:p>
    <w:p w14:paraId="179A1304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贵金属策略布局</w:t>
      </w:r>
    </w:p>
    <w:p w14:paraId="0CD83A9A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黄金（</w:t>
      </w:r>
      <w:r>
        <w:rPr>
          <w:rFonts w:hint="eastAsia"/>
        </w:rPr>
        <w:t>XAU/USD</w:t>
      </w:r>
      <w:r>
        <w:rPr>
          <w:rFonts w:hint="eastAsia"/>
        </w:rPr>
        <w:t>）：在</w:t>
      </w:r>
      <w:r>
        <w:rPr>
          <w:rFonts w:hint="eastAsia"/>
        </w:rPr>
        <w:t>4113.5</w:t>
      </w:r>
      <w:r>
        <w:rPr>
          <w:rFonts w:hint="eastAsia"/>
        </w:rPr>
        <w:t>附近做空，止损</w:t>
      </w:r>
      <w:r>
        <w:rPr>
          <w:rFonts w:hint="eastAsia"/>
        </w:rPr>
        <w:t>4143.5</w:t>
      </w:r>
      <w:r>
        <w:rPr>
          <w:rFonts w:hint="eastAsia"/>
        </w:rPr>
        <w:t>，目标</w:t>
      </w:r>
      <w:r>
        <w:rPr>
          <w:rFonts w:hint="eastAsia"/>
        </w:rPr>
        <w:t>4024</w:t>
      </w:r>
      <w:r>
        <w:rPr>
          <w:rFonts w:hint="eastAsia"/>
        </w:rPr>
        <w:t>。</w:t>
      </w:r>
    </w:p>
    <w:p w14:paraId="5E4CD79F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白银（</w:t>
      </w:r>
      <w:r>
        <w:rPr>
          <w:rFonts w:hint="eastAsia"/>
        </w:rPr>
        <w:t>XAG/USD</w:t>
      </w:r>
      <w:r>
        <w:rPr>
          <w:rFonts w:hint="eastAsia"/>
        </w:rPr>
        <w:t>）：现价市价做空，止损</w:t>
      </w:r>
      <w:r>
        <w:rPr>
          <w:rFonts w:hint="eastAsia"/>
        </w:rPr>
        <w:t>64.90</w:t>
      </w:r>
      <w:r>
        <w:rPr>
          <w:rFonts w:hint="eastAsia"/>
        </w:rPr>
        <w:t>，目标</w:t>
      </w:r>
      <w:r>
        <w:rPr>
          <w:rFonts w:hint="eastAsia"/>
        </w:rPr>
        <w:t>61.70</w:t>
      </w:r>
      <w:r>
        <w:rPr>
          <w:rFonts w:hint="eastAsia"/>
        </w:rPr>
        <w:t>。</w:t>
      </w:r>
    </w:p>
    <w:p w14:paraId="44F8D903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历史案例复盘</w:t>
      </w:r>
    </w:p>
    <w:p w14:paraId="19AA114C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NEAR </w:t>
      </w:r>
      <w:r>
        <w:rPr>
          <w:rFonts w:hint="eastAsia"/>
        </w:rPr>
        <w:t>暴跌归因：通过复盘昨日</w:t>
      </w:r>
      <w:r>
        <w:rPr>
          <w:rFonts w:hint="eastAsia"/>
        </w:rPr>
        <w:t>NEAR</w:t>
      </w:r>
      <w:r>
        <w:rPr>
          <w:rFonts w:hint="eastAsia"/>
        </w:rPr>
        <w:t>走势，验证了其跟随比特币大盘下跌的逻辑，并受比特币加速下杀影响导致跌幅扩大。</w:t>
      </w:r>
    </w:p>
    <w:p w14:paraId="2C6655D8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 xml:space="preserve">BTC </w:t>
      </w:r>
      <w:r>
        <w:rPr>
          <w:rFonts w:hint="eastAsia"/>
        </w:rPr>
        <w:t>长线持仓逻辑：展示了基于</w:t>
      </w:r>
      <w:r>
        <w:rPr>
          <w:rFonts w:hint="eastAsia"/>
        </w:rPr>
        <w:t>45</w:t>
      </w:r>
      <w:r>
        <w:rPr>
          <w:rFonts w:hint="eastAsia"/>
        </w:rPr>
        <w:t>天图</w:t>
      </w:r>
      <w:r>
        <w:rPr>
          <w:rFonts w:hint="eastAsia"/>
        </w:rPr>
        <w:t>MACD</w:t>
      </w:r>
      <w:r>
        <w:rPr>
          <w:rFonts w:hint="eastAsia"/>
        </w:rPr>
        <w:t>底背离信号入场的长线多单，虽然中间经历深度回调，但最终获得巨额利润。</w:t>
      </w:r>
    </w:p>
    <w:p w14:paraId="6CF81303" w14:textId="77777777" w:rsidR="00EC5F7A" w:rsidRDefault="00EC5F7A" w:rsidP="00EC5F7A">
      <w:r>
        <w:t>---</w:t>
      </w:r>
    </w:p>
    <w:p w14:paraId="03FE483D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四、待办事项</w:t>
      </w:r>
    </w:p>
    <w:p w14:paraId="4D26003C" w14:textId="77777777" w:rsidR="00EC5F7A" w:rsidRDefault="00EC5F7A" w:rsidP="00EC5F7A">
      <w:pPr>
        <w:rPr>
          <w:rFonts w:hint="eastAsia"/>
        </w:rPr>
      </w:pPr>
      <w:r>
        <w:rPr>
          <w:rFonts w:hint="eastAsia"/>
        </w:rPr>
        <w:t>整理仓位管理公式与盈亏比计算逻辑。</w:t>
      </w:r>
      <w:r>
        <w:rPr>
          <w:rFonts w:hint="eastAsia"/>
        </w:rPr>
        <w:t xml:space="preserve"> @</w:t>
      </w:r>
      <w:r>
        <w:rPr>
          <w:rFonts w:hint="eastAsia"/>
        </w:rPr>
        <w:t>全员</w:t>
      </w:r>
    </w:p>
    <w:p w14:paraId="24AF0F49" w14:textId="45E3E0DA" w:rsidR="00AA312E" w:rsidRDefault="00EC5F7A" w:rsidP="00EC5F7A">
      <w:r>
        <w:rPr>
          <w:rFonts w:hint="eastAsia"/>
        </w:rPr>
        <w:t>今晚</w:t>
      </w:r>
      <w:r>
        <w:rPr>
          <w:rFonts w:hint="eastAsia"/>
        </w:rPr>
        <w:t>21:00</w:t>
      </w:r>
      <w:r>
        <w:rPr>
          <w:rFonts w:hint="eastAsia"/>
        </w:rPr>
        <w:t>在同一会议室进行复盘与加深学习。</w:t>
      </w:r>
      <w:r>
        <w:rPr>
          <w:rFonts w:hint="eastAsia"/>
        </w:rPr>
        <w:t xml:space="preserve"> @</w:t>
      </w:r>
      <w:r>
        <w:rPr>
          <w:rFonts w:hint="eastAsia"/>
        </w:rPr>
        <w:t>全员</w:t>
      </w:r>
    </w:p>
    <w:p w14:paraId="7FCD98D8" w14:textId="77777777" w:rsidR="007B25ED" w:rsidRDefault="007B25ED" w:rsidP="0079107D"/>
    <w:p w14:paraId="3F9BFD45" w14:textId="77777777" w:rsidR="007B25ED" w:rsidRDefault="007B25ED" w:rsidP="0079107D"/>
    <w:p w14:paraId="416651CF" w14:textId="77777777" w:rsidR="007B25ED" w:rsidRDefault="007B25ED" w:rsidP="0079107D"/>
    <w:p w14:paraId="4D666262" w14:textId="77777777" w:rsidR="007B25ED" w:rsidRPr="0079107D" w:rsidRDefault="007B25ED" w:rsidP="0079107D"/>
    <w:sectPr w:rsidR="007B25ED" w:rsidRPr="0079107D" w:rsidSect="000444FF">
      <w:pgSz w:w="12240" w:h="15840"/>
      <w:pgMar w:top="360" w:right="27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0ED5"/>
    <w:multiLevelType w:val="multilevel"/>
    <w:tmpl w:val="75B0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37DD2"/>
    <w:multiLevelType w:val="multilevel"/>
    <w:tmpl w:val="6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32AC"/>
    <w:multiLevelType w:val="multilevel"/>
    <w:tmpl w:val="438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22B7B"/>
    <w:multiLevelType w:val="multilevel"/>
    <w:tmpl w:val="9E02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6038F"/>
    <w:multiLevelType w:val="multilevel"/>
    <w:tmpl w:val="6AA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F349D"/>
    <w:multiLevelType w:val="multilevel"/>
    <w:tmpl w:val="5154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42DD"/>
    <w:multiLevelType w:val="multilevel"/>
    <w:tmpl w:val="975C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6237C"/>
    <w:multiLevelType w:val="multilevel"/>
    <w:tmpl w:val="138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206A6"/>
    <w:multiLevelType w:val="multilevel"/>
    <w:tmpl w:val="92D6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85BE3"/>
    <w:multiLevelType w:val="multilevel"/>
    <w:tmpl w:val="C8A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D7773"/>
    <w:multiLevelType w:val="multilevel"/>
    <w:tmpl w:val="90E8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CB2D98"/>
    <w:multiLevelType w:val="multilevel"/>
    <w:tmpl w:val="BEF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D7A7C"/>
    <w:multiLevelType w:val="multilevel"/>
    <w:tmpl w:val="86BE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E7764"/>
    <w:multiLevelType w:val="multilevel"/>
    <w:tmpl w:val="EE64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B0990"/>
    <w:multiLevelType w:val="multilevel"/>
    <w:tmpl w:val="1EA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533FE"/>
    <w:multiLevelType w:val="multilevel"/>
    <w:tmpl w:val="C198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53651F"/>
    <w:multiLevelType w:val="multilevel"/>
    <w:tmpl w:val="386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D02B8C"/>
    <w:multiLevelType w:val="multilevel"/>
    <w:tmpl w:val="CB3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616A9"/>
    <w:multiLevelType w:val="multilevel"/>
    <w:tmpl w:val="28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662CA"/>
    <w:multiLevelType w:val="multilevel"/>
    <w:tmpl w:val="3704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A7B11"/>
    <w:multiLevelType w:val="multilevel"/>
    <w:tmpl w:val="073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07779"/>
    <w:multiLevelType w:val="multilevel"/>
    <w:tmpl w:val="78CE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F239C"/>
    <w:multiLevelType w:val="multilevel"/>
    <w:tmpl w:val="900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91118"/>
    <w:multiLevelType w:val="hybridMultilevel"/>
    <w:tmpl w:val="30A2186A"/>
    <w:lvl w:ilvl="0" w:tplc="3DC2A0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A23314"/>
    <w:multiLevelType w:val="multilevel"/>
    <w:tmpl w:val="80F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D32D2"/>
    <w:multiLevelType w:val="multilevel"/>
    <w:tmpl w:val="E3A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445FD"/>
    <w:multiLevelType w:val="multilevel"/>
    <w:tmpl w:val="9DA4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64386"/>
    <w:multiLevelType w:val="multilevel"/>
    <w:tmpl w:val="38C2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21BD2"/>
    <w:multiLevelType w:val="multilevel"/>
    <w:tmpl w:val="1D9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E73D7"/>
    <w:multiLevelType w:val="multilevel"/>
    <w:tmpl w:val="A5C6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369714">
    <w:abstractNumId w:val="26"/>
  </w:num>
  <w:num w:numId="2" w16cid:durableId="1038747986">
    <w:abstractNumId w:val="22"/>
  </w:num>
  <w:num w:numId="3" w16cid:durableId="585267161">
    <w:abstractNumId w:val="7"/>
  </w:num>
  <w:num w:numId="4" w16cid:durableId="947614696">
    <w:abstractNumId w:val="15"/>
  </w:num>
  <w:num w:numId="5" w16cid:durableId="1454902208">
    <w:abstractNumId w:val="6"/>
  </w:num>
  <w:num w:numId="6" w16cid:durableId="746194093">
    <w:abstractNumId w:val="1"/>
  </w:num>
  <w:num w:numId="7" w16cid:durableId="1086802870">
    <w:abstractNumId w:val="11"/>
  </w:num>
  <w:num w:numId="8" w16cid:durableId="710761132">
    <w:abstractNumId w:val="10"/>
  </w:num>
  <w:num w:numId="9" w16cid:durableId="744110790">
    <w:abstractNumId w:val="0"/>
  </w:num>
  <w:num w:numId="10" w16cid:durableId="220482154">
    <w:abstractNumId w:val="4"/>
  </w:num>
  <w:num w:numId="11" w16cid:durableId="345255475">
    <w:abstractNumId w:val="27"/>
  </w:num>
  <w:num w:numId="12" w16cid:durableId="1680081247">
    <w:abstractNumId w:val="8"/>
  </w:num>
  <w:num w:numId="13" w16cid:durableId="589892060">
    <w:abstractNumId w:val="20"/>
  </w:num>
  <w:num w:numId="14" w16cid:durableId="765465082">
    <w:abstractNumId w:val="2"/>
  </w:num>
  <w:num w:numId="15" w16cid:durableId="1398748980">
    <w:abstractNumId w:val="28"/>
  </w:num>
  <w:num w:numId="16" w16cid:durableId="1498769601">
    <w:abstractNumId w:val="19"/>
  </w:num>
  <w:num w:numId="17" w16cid:durableId="815948819">
    <w:abstractNumId w:val="25"/>
  </w:num>
  <w:num w:numId="18" w16cid:durableId="1374380770">
    <w:abstractNumId w:val="3"/>
  </w:num>
  <w:num w:numId="19" w16cid:durableId="1769041203">
    <w:abstractNumId w:val="21"/>
  </w:num>
  <w:num w:numId="20" w16cid:durableId="720322432">
    <w:abstractNumId w:val="16"/>
  </w:num>
  <w:num w:numId="21" w16cid:durableId="774255929">
    <w:abstractNumId w:val="18"/>
  </w:num>
  <w:num w:numId="22" w16cid:durableId="2116827031">
    <w:abstractNumId w:val="14"/>
  </w:num>
  <w:num w:numId="23" w16cid:durableId="443768271">
    <w:abstractNumId w:val="9"/>
  </w:num>
  <w:num w:numId="24" w16cid:durableId="139151145">
    <w:abstractNumId w:val="5"/>
  </w:num>
  <w:num w:numId="25" w16cid:durableId="927009417">
    <w:abstractNumId w:val="12"/>
  </w:num>
  <w:num w:numId="26" w16cid:durableId="1669669171">
    <w:abstractNumId w:val="24"/>
  </w:num>
  <w:num w:numId="27" w16cid:durableId="620303018">
    <w:abstractNumId w:val="29"/>
  </w:num>
  <w:num w:numId="28" w16cid:durableId="576329714">
    <w:abstractNumId w:val="17"/>
  </w:num>
  <w:num w:numId="29" w16cid:durableId="1854950126">
    <w:abstractNumId w:val="13"/>
  </w:num>
  <w:num w:numId="30" w16cid:durableId="1040860468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FF"/>
    <w:rsid w:val="00000A78"/>
    <w:rsid w:val="00037F9B"/>
    <w:rsid w:val="00042E9A"/>
    <w:rsid w:val="000444FF"/>
    <w:rsid w:val="00046EC5"/>
    <w:rsid w:val="000553E3"/>
    <w:rsid w:val="0005656D"/>
    <w:rsid w:val="000644AE"/>
    <w:rsid w:val="00064CCA"/>
    <w:rsid w:val="00067468"/>
    <w:rsid w:val="000678A6"/>
    <w:rsid w:val="00070F01"/>
    <w:rsid w:val="00077C9E"/>
    <w:rsid w:val="00080FC5"/>
    <w:rsid w:val="000832AA"/>
    <w:rsid w:val="000846DD"/>
    <w:rsid w:val="0008473E"/>
    <w:rsid w:val="00090AFF"/>
    <w:rsid w:val="00090D6B"/>
    <w:rsid w:val="00093CDE"/>
    <w:rsid w:val="000C1798"/>
    <w:rsid w:val="000C22A2"/>
    <w:rsid w:val="000C4D0C"/>
    <w:rsid w:val="000C5DE0"/>
    <w:rsid w:val="000D7217"/>
    <w:rsid w:val="000E0299"/>
    <w:rsid w:val="000E11E4"/>
    <w:rsid w:val="000E4AEA"/>
    <w:rsid w:val="000E682D"/>
    <w:rsid w:val="000F2C24"/>
    <w:rsid w:val="000F3EA3"/>
    <w:rsid w:val="001038B4"/>
    <w:rsid w:val="0010512E"/>
    <w:rsid w:val="00117A4E"/>
    <w:rsid w:val="00122B53"/>
    <w:rsid w:val="00134A44"/>
    <w:rsid w:val="00135263"/>
    <w:rsid w:val="00135FA8"/>
    <w:rsid w:val="001366EA"/>
    <w:rsid w:val="00142224"/>
    <w:rsid w:val="00142746"/>
    <w:rsid w:val="00144917"/>
    <w:rsid w:val="00147861"/>
    <w:rsid w:val="00151F95"/>
    <w:rsid w:val="00156360"/>
    <w:rsid w:val="00160976"/>
    <w:rsid w:val="00163C8D"/>
    <w:rsid w:val="0016410D"/>
    <w:rsid w:val="00166AFA"/>
    <w:rsid w:val="00175012"/>
    <w:rsid w:val="00175B3A"/>
    <w:rsid w:val="00177CCC"/>
    <w:rsid w:val="00194E58"/>
    <w:rsid w:val="00196ACD"/>
    <w:rsid w:val="001A1D1D"/>
    <w:rsid w:val="001A2C18"/>
    <w:rsid w:val="001A6CA8"/>
    <w:rsid w:val="001A79C3"/>
    <w:rsid w:val="001B1878"/>
    <w:rsid w:val="001B47D4"/>
    <w:rsid w:val="001B6AF9"/>
    <w:rsid w:val="001C1216"/>
    <w:rsid w:val="001C2461"/>
    <w:rsid w:val="001D1DFE"/>
    <w:rsid w:val="001D212C"/>
    <w:rsid w:val="00207750"/>
    <w:rsid w:val="002200F7"/>
    <w:rsid w:val="00220850"/>
    <w:rsid w:val="00221C76"/>
    <w:rsid w:val="00233142"/>
    <w:rsid w:val="002333D6"/>
    <w:rsid w:val="0023364C"/>
    <w:rsid w:val="00233BAE"/>
    <w:rsid w:val="00237539"/>
    <w:rsid w:val="00237F16"/>
    <w:rsid w:val="002502FC"/>
    <w:rsid w:val="00256EE7"/>
    <w:rsid w:val="0025767F"/>
    <w:rsid w:val="00262D23"/>
    <w:rsid w:val="0026323B"/>
    <w:rsid w:val="00263E90"/>
    <w:rsid w:val="00271735"/>
    <w:rsid w:val="00272A13"/>
    <w:rsid w:val="00273D06"/>
    <w:rsid w:val="00281B50"/>
    <w:rsid w:val="00287BBE"/>
    <w:rsid w:val="00292B41"/>
    <w:rsid w:val="002939A9"/>
    <w:rsid w:val="00295313"/>
    <w:rsid w:val="002A0BA9"/>
    <w:rsid w:val="002A60F4"/>
    <w:rsid w:val="002B298A"/>
    <w:rsid w:val="002B4F6F"/>
    <w:rsid w:val="002C5430"/>
    <w:rsid w:val="002E43D5"/>
    <w:rsid w:val="002E6056"/>
    <w:rsid w:val="002E74E2"/>
    <w:rsid w:val="002F2E7A"/>
    <w:rsid w:val="00303A4F"/>
    <w:rsid w:val="00305E50"/>
    <w:rsid w:val="00307292"/>
    <w:rsid w:val="00315C83"/>
    <w:rsid w:val="003169E7"/>
    <w:rsid w:val="0033772C"/>
    <w:rsid w:val="00341A0B"/>
    <w:rsid w:val="00343EE7"/>
    <w:rsid w:val="003441B0"/>
    <w:rsid w:val="00347706"/>
    <w:rsid w:val="00353833"/>
    <w:rsid w:val="00353FF2"/>
    <w:rsid w:val="00357C09"/>
    <w:rsid w:val="0036456E"/>
    <w:rsid w:val="003701C6"/>
    <w:rsid w:val="00373FA7"/>
    <w:rsid w:val="00376106"/>
    <w:rsid w:val="00380557"/>
    <w:rsid w:val="0038230C"/>
    <w:rsid w:val="00386CAB"/>
    <w:rsid w:val="00390326"/>
    <w:rsid w:val="003971FD"/>
    <w:rsid w:val="003A250B"/>
    <w:rsid w:val="003A5D3F"/>
    <w:rsid w:val="003B5EBF"/>
    <w:rsid w:val="003B7235"/>
    <w:rsid w:val="003C32B5"/>
    <w:rsid w:val="003C5D97"/>
    <w:rsid w:val="003D0A6D"/>
    <w:rsid w:val="003D1CD3"/>
    <w:rsid w:val="003D71A6"/>
    <w:rsid w:val="003F5418"/>
    <w:rsid w:val="003F6AC3"/>
    <w:rsid w:val="003F7D73"/>
    <w:rsid w:val="004041FF"/>
    <w:rsid w:val="004111D0"/>
    <w:rsid w:val="00427EEB"/>
    <w:rsid w:val="0043618F"/>
    <w:rsid w:val="00437DEB"/>
    <w:rsid w:val="004437CC"/>
    <w:rsid w:val="0045274D"/>
    <w:rsid w:val="0045403A"/>
    <w:rsid w:val="00462C82"/>
    <w:rsid w:val="0046559F"/>
    <w:rsid w:val="0047729C"/>
    <w:rsid w:val="00482398"/>
    <w:rsid w:val="00483DB0"/>
    <w:rsid w:val="0048430F"/>
    <w:rsid w:val="00487939"/>
    <w:rsid w:val="0049193E"/>
    <w:rsid w:val="004922BE"/>
    <w:rsid w:val="004B19F0"/>
    <w:rsid w:val="004B6606"/>
    <w:rsid w:val="004E0923"/>
    <w:rsid w:val="004F0BD3"/>
    <w:rsid w:val="004F112A"/>
    <w:rsid w:val="004F270A"/>
    <w:rsid w:val="004F47FC"/>
    <w:rsid w:val="00502F8F"/>
    <w:rsid w:val="00510EE4"/>
    <w:rsid w:val="005123CD"/>
    <w:rsid w:val="0051335D"/>
    <w:rsid w:val="00514CE3"/>
    <w:rsid w:val="005157C0"/>
    <w:rsid w:val="00525B08"/>
    <w:rsid w:val="0052651A"/>
    <w:rsid w:val="00533A02"/>
    <w:rsid w:val="00535D7D"/>
    <w:rsid w:val="00541394"/>
    <w:rsid w:val="005503A9"/>
    <w:rsid w:val="00556ED4"/>
    <w:rsid w:val="00557588"/>
    <w:rsid w:val="005644D1"/>
    <w:rsid w:val="00566200"/>
    <w:rsid w:val="005721C7"/>
    <w:rsid w:val="00573504"/>
    <w:rsid w:val="00575B20"/>
    <w:rsid w:val="00585942"/>
    <w:rsid w:val="00590897"/>
    <w:rsid w:val="005924D1"/>
    <w:rsid w:val="00593004"/>
    <w:rsid w:val="0059447D"/>
    <w:rsid w:val="005953E5"/>
    <w:rsid w:val="005970E1"/>
    <w:rsid w:val="00597499"/>
    <w:rsid w:val="005A6C87"/>
    <w:rsid w:val="005B7476"/>
    <w:rsid w:val="005B7AB6"/>
    <w:rsid w:val="005B7F3A"/>
    <w:rsid w:val="005E51B4"/>
    <w:rsid w:val="005E598E"/>
    <w:rsid w:val="005F2459"/>
    <w:rsid w:val="005F7AD8"/>
    <w:rsid w:val="006052C5"/>
    <w:rsid w:val="006206AA"/>
    <w:rsid w:val="00627C07"/>
    <w:rsid w:val="00640AB0"/>
    <w:rsid w:val="00643102"/>
    <w:rsid w:val="006448E5"/>
    <w:rsid w:val="006455D4"/>
    <w:rsid w:val="0065567C"/>
    <w:rsid w:val="00672926"/>
    <w:rsid w:val="006827A9"/>
    <w:rsid w:val="00684FD2"/>
    <w:rsid w:val="006878A7"/>
    <w:rsid w:val="006904FA"/>
    <w:rsid w:val="006907B6"/>
    <w:rsid w:val="006A0F4B"/>
    <w:rsid w:val="006C3492"/>
    <w:rsid w:val="006C570A"/>
    <w:rsid w:val="006C5C1B"/>
    <w:rsid w:val="006C7E1E"/>
    <w:rsid w:val="006E1369"/>
    <w:rsid w:val="006E7972"/>
    <w:rsid w:val="006F2E12"/>
    <w:rsid w:val="00704884"/>
    <w:rsid w:val="00711DD6"/>
    <w:rsid w:val="00711DF4"/>
    <w:rsid w:val="00715520"/>
    <w:rsid w:val="00716517"/>
    <w:rsid w:val="007314B5"/>
    <w:rsid w:val="00734F3F"/>
    <w:rsid w:val="007400F2"/>
    <w:rsid w:val="00740C56"/>
    <w:rsid w:val="00740DEA"/>
    <w:rsid w:val="007529ED"/>
    <w:rsid w:val="00762470"/>
    <w:rsid w:val="00763C76"/>
    <w:rsid w:val="007701CF"/>
    <w:rsid w:val="00776C34"/>
    <w:rsid w:val="00782D69"/>
    <w:rsid w:val="0079025A"/>
    <w:rsid w:val="00790631"/>
    <w:rsid w:val="0079107D"/>
    <w:rsid w:val="00795C2E"/>
    <w:rsid w:val="007A0387"/>
    <w:rsid w:val="007A4D7D"/>
    <w:rsid w:val="007A5818"/>
    <w:rsid w:val="007B25ED"/>
    <w:rsid w:val="007C1045"/>
    <w:rsid w:val="007C1F67"/>
    <w:rsid w:val="007D0DFC"/>
    <w:rsid w:val="007D23AD"/>
    <w:rsid w:val="007D3699"/>
    <w:rsid w:val="007D5705"/>
    <w:rsid w:val="007D75A5"/>
    <w:rsid w:val="007E0505"/>
    <w:rsid w:val="007F7292"/>
    <w:rsid w:val="00812A56"/>
    <w:rsid w:val="008253E9"/>
    <w:rsid w:val="00825B73"/>
    <w:rsid w:val="008411E0"/>
    <w:rsid w:val="00841BF4"/>
    <w:rsid w:val="00842A99"/>
    <w:rsid w:val="0084437F"/>
    <w:rsid w:val="00844934"/>
    <w:rsid w:val="00846A04"/>
    <w:rsid w:val="00846D19"/>
    <w:rsid w:val="00851EBA"/>
    <w:rsid w:val="00871668"/>
    <w:rsid w:val="00880E74"/>
    <w:rsid w:val="00882E4F"/>
    <w:rsid w:val="00885320"/>
    <w:rsid w:val="008A4B85"/>
    <w:rsid w:val="008A5FF4"/>
    <w:rsid w:val="008C4F48"/>
    <w:rsid w:val="008C6CF1"/>
    <w:rsid w:val="008C7F80"/>
    <w:rsid w:val="008D580B"/>
    <w:rsid w:val="008E4AF0"/>
    <w:rsid w:val="008F4224"/>
    <w:rsid w:val="008F4B5A"/>
    <w:rsid w:val="008F57D0"/>
    <w:rsid w:val="008F5996"/>
    <w:rsid w:val="00901154"/>
    <w:rsid w:val="009018F0"/>
    <w:rsid w:val="00902943"/>
    <w:rsid w:val="00904305"/>
    <w:rsid w:val="009061CF"/>
    <w:rsid w:val="0091130D"/>
    <w:rsid w:val="009157CF"/>
    <w:rsid w:val="00916EBE"/>
    <w:rsid w:val="009236C1"/>
    <w:rsid w:val="0093187A"/>
    <w:rsid w:val="00932407"/>
    <w:rsid w:val="00932B61"/>
    <w:rsid w:val="0093780A"/>
    <w:rsid w:val="0094044C"/>
    <w:rsid w:val="00951CFD"/>
    <w:rsid w:val="00951FFB"/>
    <w:rsid w:val="009524F6"/>
    <w:rsid w:val="0096612A"/>
    <w:rsid w:val="00976260"/>
    <w:rsid w:val="00987D90"/>
    <w:rsid w:val="00990303"/>
    <w:rsid w:val="00991ADF"/>
    <w:rsid w:val="00993D58"/>
    <w:rsid w:val="009941FF"/>
    <w:rsid w:val="00996DC6"/>
    <w:rsid w:val="00997460"/>
    <w:rsid w:val="009A0FB6"/>
    <w:rsid w:val="009A407C"/>
    <w:rsid w:val="009A4F02"/>
    <w:rsid w:val="009B141A"/>
    <w:rsid w:val="009B1A41"/>
    <w:rsid w:val="009B4E91"/>
    <w:rsid w:val="009C19E1"/>
    <w:rsid w:val="009C1C8A"/>
    <w:rsid w:val="009C30CC"/>
    <w:rsid w:val="009D1FFD"/>
    <w:rsid w:val="009D6B89"/>
    <w:rsid w:val="009E1C1D"/>
    <w:rsid w:val="009E61BF"/>
    <w:rsid w:val="009F1CB9"/>
    <w:rsid w:val="009F21A5"/>
    <w:rsid w:val="009F4995"/>
    <w:rsid w:val="009F71DE"/>
    <w:rsid w:val="00A039CA"/>
    <w:rsid w:val="00A06C52"/>
    <w:rsid w:val="00A14CD4"/>
    <w:rsid w:val="00A20DA5"/>
    <w:rsid w:val="00A219AE"/>
    <w:rsid w:val="00A2319C"/>
    <w:rsid w:val="00A263F0"/>
    <w:rsid w:val="00A30474"/>
    <w:rsid w:val="00A35E63"/>
    <w:rsid w:val="00A42BD7"/>
    <w:rsid w:val="00A42FF7"/>
    <w:rsid w:val="00A47DEB"/>
    <w:rsid w:val="00A5520B"/>
    <w:rsid w:val="00A603D7"/>
    <w:rsid w:val="00A61F5D"/>
    <w:rsid w:val="00A66C7B"/>
    <w:rsid w:val="00A7566A"/>
    <w:rsid w:val="00A75F68"/>
    <w:rsid w:val="00A76406"/>
    <w:rsid w:val="00A77D8E"/>
    <w:rsid w:val="00A806A3"/>
    <w:rsid w:val="00A832B1"/>
    <w:rsid w:val="00A84A93"/>
    <w:rsid w:val="00A86AF8"/>
    <w:rsid w:val="00A87BC2"/>
    <w:rsid w:val="00A87D8D"/>
    <w:rsid w:val="00A920AA"/>
    <w:rsid w:val="00A93490"/>
    <w:rsid w:val="00A978F7"/>
    <w:rsid w:val="00AA312E"/>
    <w:rsid w:val="00AB443F"/>
    <w:rsid w:val="00AB6F2E"/>
    <w:rsid w:val="00AC1802"/>
    <w:rsid w:val="00AC7CB4"/>
    <w:rsid w:val="00AE0C0C"/>
    <w:rsid w:val="00AE4A90"/>
    <w:rsid w:val="00AE7E3B"/>
    <w:rsid w:val="00AF5C9E"/>
    <w:rsid w:val="00B006AC"/>
    <w:rsid w:val="00B04AF7"/>
    <w:rsid w:val="00B05AB6"/>
    <w:rsid w:val="00B077E7"/>
    <w:rsid w:val="00B13017"/>
    <w:rsid w:val="00B1404A"/>
    <w:rsid w:val="00B16EEF"/>
    <w:rsid w:val="00B17004"/>
    <w:rsid w:val="00B36577"/>
    <w:rsid w:val="00B41736"/>
    <w:rsid w:val="00B55FEC"/>
    <w:rsid w:val="00B560EA"/>
    <w:rsid w:val="00B60680"/>
    <w:rsid w:val="00B66846"/>
    <w:rsid w:val="00B70A6D"/>
    <w:rsid w:val="00B74388"/>
    <w:rsid w:val="00B76ED8"/>
    <w:rsid w:val="00B83A24"/>
    <w:rsid w:val="00B87AED"/>
    <w:rsid w:val="00B90160"/>
    <w:rsid w:val="00BA2965"/>
    <w:rsid w:val="00BA75E0"/>
    <w:rsid w:val="00BA7C75"/>
    <w:rsid w:val="00BB4CA4"/>
    <w:rsid w:val="00BB4E04"/>
    <w:rsid w:val="00BB7285"/>
    <w:rsid w:val="00BD52FA"/>
    <w:rsid w:val="00BD5C82"/>
    <w:rsid w:val="00BF15D6"/>
    <w:rsid w:val="00BF304A"/>
    <w:rsid w:val="00C01A20"/>
    <w:rsid w:val="00C17BA1"/>
    <w:rsid w:val="00C22B0F"/>
    <w:rsid w:val="00C3594A"/>
    <w:rsid w:val="00C4052F"/>
    <w:rsid w:val="00C41771"/>
    <w:rsid w:val="00C5268F"/>
    <w:rsid w:val="00C52FC6"/>
    <w:rsid w:val="00C56D42"/>
    <w:rsid w:val="00C57E11"/>
    <w:rsid w:val="00C57E64"/>
    <w:rsid w:val="00C60F77"/>
    <w:rsid w:val="00C6223E"/>
    <w:rsid w:val="00C65255"/>
    <w:rsid w:val="00C71138"/>
    <w:rsid w:val="00C7356D"/>
    <w:rsid w:val="00C963A3"/>
    <w:rsid w:val="00C96AA1"/>
    <w:rsid w:val="00C979C7"/>
    <w:rsid w:val="00CA0597"/>
    <w:rsid w:val="00CA2348"/>
    <w:rsid w:val="00CA49BB"/>
    <w:rsid w:val="00CA623C"/>
    <w:rsid w:val="00CB0BE3"/>
    <w:rsid w:val="00CC4636"/>
    <w:rsid w:val="00CC4D30"/>
    <w:rsid w:val="00CC6236"/>
    <w:rsid w:val="00CD0D49"/>
    <w:rsid w:val="00CD0E07"/>
    <w:rsid w:val="00CD1B00"/>
    <w:rsid w:val="00CE2B60"/>
    <w:rsid w:val="00CE5E74"/>
    <w:rsid w:val="00CF671B"/>
    <w:rsid w:val="00D0069D"/>
    <w:rsid w:val="00D00779"/>
    <w:rsid w:val="00D101EC"/>
    <w:rsid w:val="00D17998"/>
    <w:rsid w:val="00D200E3"/>
    <w:rsid w:val="00D2067B"/>
    <w:rsid w:val="00D20B6F"/>
    <w:rsid w:val="00D253C3"/>
    <w:rsid w:val="00D25C3C"/>
    <w:rsid w:val="00D2692E"/>
    <w:rsid w:val="00D3555B"/>
    <w:rsid w:val="00D36964"/>
    <w:rsid w:val="00D41128"/>
    <w:rsid w:val="00D44A82"/>
    <w:rsid w:val="00D47EC6"/>
    <w:rsid w:val="00D631A6"/>
    <w:rsid w:val="00D63927"/>
    <w:rsid w:val="00D8099F"/>
    <w:rsid w:val="00D86B47"/>
    <w:rsid w:val="00D87C60"/>
    <w:rsid w:val="00D92F35"/>
    <w:rsid w:val="00D96A5A"/>
    <w:rsid w:val="00DA5359"/>
    <w:rsid w:val="00DB046C"/>
    <w:rsid w:val="00DB5393"/>
    <w:rsid w:val="00DB682F"/>
    <w:rsid w:val="00DB6B00"/>
    <w:rsid w:val="00DC1266"/>
    <w:rsid w:val="00DC2A01"/>
    <w:rsid w:val="00DC6684"/>
    <w:rsid w:val="00DD262B"/>
    <w:rsid w:val="00DE5356"/>
    <w:rsid w:val="00DE72D4"/>
    <w:rsid w:val="00DF0EEE"/>
    <w:rsid w:val="00E04C81"/>
    <w:rsid w:val="00E06FCE"/>
    <w:rsid w:val="00E12974"/>
    <w:rsid w:val="00E2388E"/>
    <w:rsid w:val="00E312BA"/>
    <w:rsid w:val="00E4013E"/>
    <w:rsid w:val="00E4070C"/>
    <w:rsid w:val="00E51C45"/>
    <w:rsid w:val="00E579E2"/>
    <w:rsid w:val="00E66FC9"/>
    <w:rsid w:val="00E7005A"/>
    <w:rsid w:val="00E718FA"/>
    <w:rsid w:val="00E74D43"/>
    <w:rsid w:val="00E7713F"/>
    <w:rsid w:val="00E80F24"/>
    <w:rsid w:val="00E81C1A"/>
    <w:rsid w:val="00E848E7"/>
    <w:rsid w:val="00E85124"/>
    <w:rsid w:val="00E86E79"/>
    <w:rsid w:val="00E900BF"/>
    <w:rsid w:val="00E93F0C"/>
    <w:rsid w:val="00E96756"/>
    <w:rsid w:val="00EB23CA"/>
    <w:rsid w:val="00EB2BDC"/>
    <w:rsid w:val="00EC162D"/>
    <w:rsid w:val="00EC5868"/>
    <w:rsid w:val="00EC5F7A"/>
    <w:rsid w:val="00EC6FC2"/>
    <w:rsid w:val="00ED05CD"/>
    <w:rsid w:val="00EE1F10"/>
    <w:rsid w:val="00EE2FD1"/>
    <w:rsid w:val="00EE79B0"/>
    <w:rsid w:val="00EF349C"/>
    <w:rsid w:val="00EF35CC"/>
    <w:rsid w:val="00EF5811"/>
    <w:rsid w:val="00F004C4"/>
    <w:rsid w:val="00F04A4A"/>
    <w:rsid w:val="00F04C7E"/>
    <w:rsid w:val="00F14003"/>
    <w:rsid w:val="00F152F7"/>
    <w:rsid w:val="00F21893"/>
    <w:rsid w:val="00F30EA2"/>
    <w:rsid w:val="00F32364"/>
    <w:rsid w:val="00F439E9"/>
    <w:rsid w:val="00F46EE7"/>
    <w:rsid w:val="00F47B97"/>
    <w:rsid w:val="00F50253"/>
    <w:rsid w:val="00F64DB0"/>
    <w:rsid w:val="00F725F1"/>
    <w:rsid w:val="00F8002D"/>
    <w:rsid w:val="00F801F7"/>
    <w:rsid w:val="00F82DE6"/>
    <w:rsid w:val="00F83949"/>
    <w:rsid w:val="00F83C37"/>
    <w:rsid w:val="00F91D78"/>
    <w:rsid w:val="00FB5B2A"/>
    <w:rsid w:val="00FC3C82"/>
    <w:rsid w:val="00FD690A"/>
    <w:rsid w:val="00FE241D"/>
    <w:rsid w:val="00FE2F48"/>
    <w:rsid w:val="00FE7A6B"/>
    <w:rsid w:val="00FF58E8"/>
    <w:rsid w:val="00FF5A27"/>
    <w:rsid w:val="00FF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0C62F"/>
  <w15:chartTrackingRefBased/>
  <w15:docId w15:val="{A1F8157A-A1DE-4F60-9055-DCAD9435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4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20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57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11254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Fei Yap</dc:creator>
  <cp:keywords/>
  <dc:description/>
  <cp:lastModifiedBy>Jun Fei Yap</cp:lastModifiedBy>
  <cp:revision>498</cp:revision>
  <cp:lastPrinted>2026-06-07T09:54:00Z</cp:lastPrinted>
  <dcterms:created xsi:type="dcterms:W3CDTF">2026-03-17T13:31:00Z</dcterms:created>
  <dcterms:modified xsi:type="dcterms:W3CDTF">2026-06-11T15:29:00Z</dcterms:modified>
</cp:coreProperties>
</file>