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Service Agreement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Between: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“GlobalService LLC,” represented by CEO John Doe, acting on the basis of the Charter, hereinafter referred to as the “Contractor,”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“ClientProject Inc.,” represented by CEO Jane Smith, acting on the basis of the Charter, hereinafter referred to as the “Client.”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Object of the Agreement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Contractor agrees to provide software development services in accordance with the specifications annexed to and forming an integral part of this Agreement.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Client agrees to accept and pay for the services provided under the terms of this Agreement.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Rights and Obligations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2.1 The Contractor may involve third parties to perform parts of the work without notifying the Client.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2.2 The Client must provide the Contractor with all necessary information for the performance of the work within the timelines set by the specifications.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2.3 The Contractor may not use the Client’s confidential information for purposes not related to the execution of this Agreement.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Financial Terms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3.1 The total fee for the services under this Agreement is USD 100,000.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3.2 Payment is made by the Client in stages: 50% upfront before the commencement of work, and 50% upon completion of the work.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3.3 If payment is delayed by more than 10 days, the Contractor is entitled to suspend work until payment is received.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General Travel Provisions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4.1 Pre-approval Requirement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travel arrangements must be pre-approved by the Client in writing to ensure alignment with project budgets and timelines.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4.2 Budget Caps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 expenses for any single trip must not exceed USD 2,500, with daily expenses capped at USD 500 to maintain financial control.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4.3 Travel Class Specifications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Domestic flights should be booked in economy class to reduce costs; international flights exceeding 6 hours in duration may be booked in business class to ensure traveler well-being.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4.4 Accommodation Standards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Accommodations must be booked in approved hotels within the standard cost range, unless otherwise justified by specific project needs.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4.5 Location and Seasonal Adjustments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4.5.1 High-Cost Locations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travels to locations like New York City or San Francisco, daily budgets may be increased by up to 20% with prior written approval from senior management.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4.5.2 Seasonal Price Fluctuations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During peak tourist seasons, such as summer or local festivals, a budget increase of up to 10% can be approved to account for seasonal price hikes.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4.6 Special Circumstances Provisions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4.6.1 Weather and Environmental Considerations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Additional allowances of up to USD 300 per trip are provided for travel to areas experiencing severe weather conditions or challenging environments.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4.6.2 Health and Safety Provisions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necessary health and safety expenses, including vaccinations and insurance, are covered for travel to regions with known health risks.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4.7 Compliance with Policies and Laws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4.7.1 Environmental Compliance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travel must seek to minimize environmental impact, using green transportation options where possible.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4.7.2 Legal and Regulatory Compliance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Travel must adhere to all applicable local, national, and international laws, including visa and work permit requirements.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4.8 Documentation and Reporting Requirements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4.8.1 Expense Reporting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Detailed expense reports are required within 10 days following any travel, including all receipts and justifications for expenditures over budget.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4.8.2 Audit Rights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Client reserves the right to audit travel expenses and documentation to ensure compliance with the agreement terms and to prevent financial discrepancies.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 Confidentiality and Data Protection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5.1 The Contractor shall keep the Client’s business secrets and other confidential information in strict confidence during and after the term of this Agreement.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5.2 Any breach of confidentiality substantially affects the execution of this Agreement and will be subject to legal remedies.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 Intellectual Property Rights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6.1 All intellectual property rights in the software developed under this Agreement belong to the Client unless otherwise agreed in writing.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6.2 The Contractor grants the Client a non-exclusive, worldwide license to use, modify, and distribute the software.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 Termination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7.1 This Agreement may be terminated by either party with a 30-day written notice if the other party breaches the Agreement and fails to correct the breach within a 15-day notice period.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7.2 Upon termination, all finished work and work in progress must be handed over to the Client, and all outstanding payments must be settled.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 Limitation of Liability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8.1 The Contractor’s liability under this Agreement shall be limited to the total fee paid by the Client.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8.2 Neither party shall be liable for any indirect, incidental, or consequential damages arising from this Agreement.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 Compliance with Laws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9.1 Both parties agree to comply with all applicable laws and regulations in the execution of this Agreement.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9.2 The Client is responsible for ensuring that the software does not violate any legal regulations in its intended markets.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10. Amendments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10.1 No modification of this Agreement shall be valid unless signed by both parties.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10.2 Any amendments to the scope of work as defined in the specifications require a written amendment to this Agreement.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11. Miscellaneous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11.1 This Agreement is governed by the laws of the State of New York.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11.2 All disputes arising from this Agreement shall be resolved through arbitration in New York, NY.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12. Software Development Tasks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12.1 Scope of Work: The Contractor will develop, test, and deploy software as per the functional and technical specifications provided by the Client.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12.2 Development Standards: All software must adhere to high industry standards of code quality and performance. The Contractor agrees to conduct rigorous testing and quality assurance before delivery.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12.3 Delivery and Implementation: The software shall be delivered according to the milestones set forth in the project plan, and the Contractor shall assist with the implementation of the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Amendment to the Service Agreement Regarding Travel Expenses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Amendment is part of the Service Agreement (the “Agreement”) entered into between GlobalService LLC, represented by CEO John Doe, and ClientProject Inc., represented by CEO Jane Smith, originally dated [Insert Date of Main Agreement].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Purpose: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introduce complex multi-factor adjustments to the travel expense policy to accommodate various scenarios affecting travel costs, ensuring fair and efficient management of corporate travel expenses.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Amendments to Travel Expense Policy: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1.1 Introduction of Multi-Factor Adjustment Conditions: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•</w:t>
        <w:tab/>
        <w:t xml:space="preserve">Night and Weekend Travel Multiplier: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Travel expenses incurred for flights scheduled between 9:00 PM and 5:00 AM or on weekends (from Friday 9:00 PM to Monday 5:00 AM) will include a multiplier of 1.1 to address the increased costs associated with off-hours travel.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•</w:t>
        <w:tab/>
        <w:t xml:space="preserve">Seasonal and Location-Based Adjustments: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travel during designated peak seasons (including Christmas, New Year, and national holidays in the destination country) and to high-cost locations (as predefined in the corporate travel policy), an additional multiplier of 1.2 will be applied to the standard travel budget.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•</w:t>
        <w:tab/>
        <w:t xml:space="preserve">Urgency and Unscheduled Travel Surge Pricing: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travel is necessitated with less than 48 hours notice, a surge pricing multiplier of 1.3 will be applied, reflecting the higher costs associated with last-minute travel arrangements.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1.2 Example for Application of Multi-Factor Adjustments: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Consider an urgent business requirement necessitates travel to New York City over New Year’s weekend, with flight booking required on a Friday night. If the base approved travel budget is $2,500, the applicable adjustments would be: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•</w:t>
        <w:tab/>
        <w:t xml:space="preserve">Night and Weekend Travel Multiplier: 1.1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•</w:t>
        <w:tab/>
        <w:t xml:space="preserve">Seasonal and Location Adjustment for New York during New Year: 1.2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•</w:t>
        <w:tab/>
        <w:t xml:space="preserve">Urgency Multiplier for last-minute booking: 1.3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total allowable expense for this travel scenario would be $2,500 * 1.1 * 1.2 * 1.3 = $4,158.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Enforcement and Compliance: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Failure to comply with the stipulated adjustment rules will be considered a violation of the corporate travel policy, subject to disciplinary actions and potential financial repercussions as outlined in the main Agreement.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