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apport-final"/>
    <w:p>
      <w:pPr>
        <w:pStyle w:val="Heading1"/>
      </w:pPr>
      <w:r>
        <w:t xml:space="preserve">RAPPORT FINAL</w:t>
      </w:r>
    </w:p>
    <w:bookmarkStart w:id="20" w:name="X24fd5f70992c3dc2e2637f2c7d565dacc0cbd70"/>
    <w:p>
      <w:pPr>
        <w:pStyle w:val="Heading2"/>
      </w:pPr>
      <w:r>
        <w:t xml:space="preserve">Sécurisation d’une infrastructure virtualisée et conteneurisée</w:t>
      </w:r>
    </w:p>
    <w:p>
      <w:r>
        <w:pict>
          <v:rect style="width:0;height:1.5pt" o:hralign="center" o:hrstd="t" o:hr="t"/>
        </w:pict>
      </w:r>
    </w:p>
    <w:bookmarkEnd w:id="20"/>
    <w:bookmarkStart w:id="21" w:name="informations-générales"/>
    <w:p>
      <w:pPr>
        <w:pStyle w:val="Heading2"/>
      </w:pPr>
      <w:r>
        <w:t xml:space="preserve">Informations générales</w:t>
      </w:r>
    </w:p>
    <w:p>
      <w:pPr>
        <w:pStyle w:val="Compact"/>
        <w:numPr>
          <w:ilvl w:val="0"/>
          <w:numId w:val="1001"/>
        </w:numPr>
      </w:pPr>
      <w:r>
        <w:rPr>
          <w:b/>
          <w:bCs/>
        </w:rPr>
        <w:t xml:space="preserve">Nom de l’étudiant :</w:t>
      </w:r>
      <w:r>
        <w:t xml:space="preserve"> </w:t>
      </w:r>
      <w:r>
        <w:t xml:space="preserve">AGBENONZAN KOSSIVI JACQUES JUNIOR</w:t>
      </w:r>
      <w:r>
        <w:br/>
      </w:r>
    </w:p>
    <w:p>
      <w:pPr>
        <w:pStyle w:val="Compact"/>
        <w:numPr>
          <w:ilvl w:val="0"/>
          <w:numId w:val="1001"/>
        </w:numPr>
      </w:pPr>
      <w:r>
        <w:rPr>
          <w:b/>
          <w:bCs/>
        </w:rPr>
        <w:t xml:space="preserve">Binôme :</w:t>
      </w:r>
      <w:r>
        <w:t xml:space="preserve"> </w:t>
      </w:r>
      <w:r>
        <w:t xml:space="preserve">SANOGO SOULEYMANE</w:t>
      </w:r>
      <w:r>
        <w:br/>
      </w:r>
    </w:p>
    <w:p>
      <w:pPr>
        <w:pStyle w:val="Compact"/>
        <w:numPr>
          <w:ilvl w:val="0"/>
          <w:numId w:val="1001"/>
        </w:numPr>
      </w:pPr>
      <w:r>
        <w:rPr>
          <w:b/>
          <w:bCs/>
        </w:rPr>
        <w:t xml:space="preserve">Système d’exploitation :</w:t>
      </w:r>
      <w:r>
        <w:t xml:space="preserve"> </w:t>
      </w:r>
      <w:r>
        <w:t xml:space="preserve">Ubuntu Server 22.04 LTS</w:t>
      </w:r>
      <w:r>
        <w:br/>
      </w:r>
    </w:p>
    <w:p>
      <w:pPr>
        <w:pStyle w:val="Compact"/>
        <w:numPr>
          <w:ilvl w:val="0"/>
          <w:numId w:val="1001"/>
        </w:numPr>
      </w:pPr>
      <w:r>
        <w:rPr>
          <w:b/>
          <w:bCs/>
        </w:rPr>
        <w:t xml:space="preserve">Hyperviseur :</w:t>
      </w:r>
      <w:r>
        <w:t xml:space="preserve"> </w:t>
      </w:r>
      <w:r>
        <w:t xml:space="preserve">Oracle VirtualBox</w:t>
      </w:r>
      <w:r>
        <w:br/>
      </w:r>
    </w:p>
    <w:p>
      <w:pPr>
        <w:pStyle w:val="Compact"/>
        <w:numPr>
          <w:ilvl w:val="0"/>
          <w:numId w:val="1001"/>
        </w:numPr>
      </w:pPr>
      <w:r>
        <w:rPr>
          <w:b/>
          <w:bCs/>
        </w:rPr>
        <w:t xml:space="preserve">Référentiel :</w:t>
      </w:r>
      <w:r>
        <w:t xml:space="preserve"> </w:t>
      </w:r>
      <w:r>
        <w:t xml:space="preserve">NIST Cybersecurity Framework</w:t>
      </w:r>
    </w:p>
    <w:p>
      <w:r>
        <w:pict>
          <v:rect style="width:0;height:1.5pt" o:hralign="center" o:hrstd="t" o:hr="t"/>
        </w:pict>
      </w:r>
    </w:p>
    <w:bookmarkEnd w:id="21"/>
    <w:bookmarkEnd w:id="22"/>
    <w:bookmarkStart w:id="23" w:name="introduction"/>
    <w:p>
      <w:pPr>
        <w:pStyle w:val="Heading1"/>
      </w:pPr>
      <w:r>
        <w:t xml:space="preserve">INTRODUCTION</w:t>
      </w:r>
    </w:p>
    <w:p>
      <w:pPr>
        <w:pStyle w:val="FirstParagraph"/>
      </w:pPr>
      <w:r>
        <w:t xml:space="preserve">Dans un contexte où les infrastructures informatiques sont de plus en plus exposées aux menaces cybernétiques, la sécurisation des systèmes, des réseaux et des applications est devenue un enjeu majeur. Ce projet a pour objectif de mettre en œuvre une infrastructure virtualisée et conteneurisée, simulant un environnement d’entreprise, tout en appliquant une démarche de sécurisation basée sur le NIST Cybersecurity Framework.</w:t>
      </w:r>
    </w:p>
    <w:p>
      <w:pPr>
        <w:pStyle w:val="BodyText"/>
      </w:pPr>
      <w:r>
        <w:t xml:space="preserve">Le projet couvre l’ensemble du cycle de vie de la sécurité, depuis l’identification des actifs jusqu’à la réponse à incident et l’amélioration continue.</w:t>
      </w:r>
    </w:p>
    <w:p>
      <w:r>
        <w:pict>
          <v:rect style="width:0;height:1.5pt" o:hralign="center" o:hrstd="t" o:hr="t"/>
        </w:pict>
      </w:r>
    </w:p>
    <w:bookmarkEnd w:id="23"/>
    <w:bookmarkStart w:id="28" w:name="phase-0-virtualisation-isolation"/>
    <w:p>
      <w:pPr>
        <w:pStyle w:val="Heading1"/>
      </w:pPr>
      <w:r>
        <w:t xml:space="preserve">PHASE 0 — VIRTUALISATION &amp; ISOLATION</w:t>
      </w:r>
    </w:p>
    <w:p>
      <w:pPr>
        <w:pStyle w:val="FirstParagraph"/>
      </w:pPr>
      <w:r>
        <w:rPr>
          <w:b/>
          <w:bCs/>
        </w:rPr>
        <w:t xml:space="preserve">Fonction NIST : IDENTIFY</w:t>
      </w:r>
    </w:p>
    <w:bookmarkStart w:id="24" w:name="objectifs"/>
    <w:p>
      <w:pPr>
        <w:pStyle w:val="Heading2"/>
      </w:pPr>
      <w:r>
        <w:t xml:space="preserve">Objectifs</w:t>
      </w:r>
    </w:p>
    <w:p>
      <w:pPr>
        <w:pStyle w:val="Compact"/>
        <w:numPr>
          <w:ilvl w:val="0"/>
          <w:numId w:val="1002"/>
        </w:numPr>
      </w:pPr>
      <w:r>
        <w:t xml:space="preserve">Comprendre le rôle de la virtualisation en sécurité</w:t>
      </w:r>
    </w:p>
    <w:p>
      <w:pPr>
        <w:pStyle w:val="Compact"/>
        <w:numPr>
          <w:ilvl w:val="0"/>
          <w:numId w:val="1002"/>
        </w:numPr>
      </w:pPr>
      <w:r>
        <w:t xml:space="preserve">Identifier les frontières d’isolation</w:t>
      </w:r>
    </w:p>
    <w:bookmarkEnd w:id="24"/>
    <w:bookmarkStart w:id="25" w:name="travaux-réalisés"/>
    <w:p>
      <w:pPr>
        <w:pStyle w:val="Heading2"/>
      </w:pPr>
      <w:r>
        <w:t xml:space="preserve">Travaux réalisés</w:t>
      </w:r>
    </w:p>
    <w:p>
      <w:pPr>
        <w:pStyle w:val="FirstParagraph"/>
      </w:pPr>
      <w:r>
        <w:t xml:space="preserve">Une machine virtuelle a été déployée sur Oracle VirtualBox afin d’isoler l’environnement de travail du système hôte. Le système d’exploitation choisi est Ubuntu Server 22.04 LTS pour sa stabilité, son support long terme et sa compatibilité avec les outils de sécurité.</w:t>
      </w:r>
    </w:p>
    <w:bookmarkEnd w:id="25"/>
    <w:bookmarkStart w:id="26" w:name="ressources-allouées"/>
    <w:p>
      <w:pPr>
        <w:pStyle w:val="Heading2"/>
      </w:pPr>
      <w:r>
        <w:t xml:space="preserve">Ressources allouées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Ressource</w:t>
            </w:r>
          </w:p>
        </w:tc>
        <w:tc>
          <w:tcPr/>
          <w:p>
            <w:pPr>
              <w:pStyle w:val="Compact"/>
            </w:pPr>
            <w:r>
              <w:t xml:space="preserve">Valeur</w:t>
            </w:r>
          </w:p>
        </w:tc>
      </w:tr>
      <w:tr>
        <w:tc>
          <w:tcPr/>
          <w:p>
            <w:pPr>
              <w:pStyle w:val="Compact"/>
            </w:pPr>
            <w:r>
              <w:t xml:space="preserve">CPU</w:t>
            </w:r>
          </w:p>
        </w:tc>
        <w:tc>
          <w:tcPr/>
          <w:p>
            <w:pPr>
              <w:pStyle w:val="Compact"/>
            </w:pPr>
            <w:r>
              <w:t xml:space="preserve">3 vCPU</w:t>
            </w:r>
          </w:p>
        </w:tc>
      </w:tr>
      <w:tr>
        <w:tc>
          <w:tcPr/>
          <w:p>
            <w:pPr>
              <w:pStyle w:val="Compact"/>
            </w:pPr>
            <w:r>
              <w:t xml:space="preserve">RAM</w:t>
            </w:r>
          </w:p>
        </w:tc>
        <w:tc>
          <w:tcPr/>
          <w:p>
            <w:pPr>
              <w:pStyle w:val="Compact"/>
            </w:pPr>
            <w:r>
              <w:t xml:space="preserve">4 Go</w:t>
            </w:r>
          </w:p>
        </w:tc>
      </w:tr>
      <w:tr>
        <w:tc>
          <w:tcPr/>
          <w:p>
            <w:pPr>
              <w:pStyle w:val="Compact"/>
            </w:pPr>
            <w:r>
              <w:t xml:space="preserve">Stockage</w:t>
            </w:r>
          </w:p>
        </w:tc>
        <w:tc>
          <w:tcPr/>
          <w:p>
            <w:pPr>
              <w:pStyle w:val="Compact"/>
            </w:pPr>
            <w:r>
              <w:t xml:space="preserve">50 Go</w:t>
            </w:r>
          </w:p>
        </w:tc>
      </w:tr>
    </w:tbl>
    <w:bookmarkEnd w:id="26"/>
    <w:bookmarkStart w:id="27" w:name="intérêt-sécurité"/>
    <w:p>
      <w:pPr>
        <w:pStyle w:val="Heading2"/>
      </w:pPr>
      <w:r>
        <w:t xml:space="preserve">Intérêt sécurité</w:t>
      </w:r>
    </w:p>
    <w:p>
      <w:pPr>
        <w:pStyle w:val="Compact"/>
        <w:numPr>
          <w:ilvl w:val="0"/>
          <w:numId w:val="1003"/>
        </w:numPr>
      </w:pPr>
      <w:r>
        <w:t xml:space="preserve">Isolation du système hôte</w:t>
      </w:r>
    </w:p>
    <w:p>
      <w:pPr>
        <w:pStyle w:val="Compact"/>
        <w:numPr>
          <w:ilvl w:val="0"/>
          <w:numId w:val="1003"/>
        </w:numPr>
      </w:pPr>
      <w:r>
        <w:t xml:space="preserve">Cloisonnement des services</w:t>
      </w:r>
    </w:p>
    <w:p>
      <w:pPr>
        <w:pStyle w:val="Compact"/>
        <w:numPr>
          <w:ilvl w:val="0"/>
          <w:numId w:val="1003"/>
        </w:numPr>
      </w:pPr>
      <w:r>
        <w:t xml:space="preserve">Réduction de l’impact d’un incident</w:t>
      </w:r>
    </w:p>
    <w:p>
      <w:r>
        <w:pict>
          <v:rect style="width:0;height:1.5pt" o:hralign="center" o:hrstd="t" o:hr="t"/>
        </w:pict>
      </w:r>
    </w:p>
    <w:bookmarkEnd w:id="27"/>
    <w:bookmarkEnd w:id="28"/>
    <w:bookmarkStart w:id="32" w:name="phase-1-architecture-réseau-cloud"/>
    <w:p>
      <w:pPr>
        <w:pStyle w:val="Heading1"/>
      </w:pPr>
      <w:r>
        <w:t xml:space="preserve">PHASE 1 — ARCHITECTURE RÉSEAU &amp; CLOUD</w:t>
      </w:r>
    </w:p>
    <w:p>
      <w:pPr>
        <w:pStyle w:val="FirstParagraph"/>
      </w:pPr>
      <w:r>
        <w:rPr>
          <w:b/>
          <w:bCs/>
        </w:rPr>
        <w:t xml:space="preserve">Fonction NIST : IDENTIFY</w:t>
      </w:r>
    </w:p>
    <w:bookmarkStart w:id="29" w:name="objectifs-1"/>
    <w:p>
      <w:pPr>
        <w:pStyle w:val="Heading2"/>
      </w:pPr>
      <w:r>
        <w:t xml:space="preserve">Objectifs</w:t>
      </w:r>
    </w:p>
    <w:p>
      <w:pPr>
        <w:pStyle w:val="Compact"/>
        <w:numPr>
          <w:ilvl w:val="0"/>
          <w:numId w:val="1004"/>
        </w:numPr>
      </w:pPr>
      <w:r>
        <w:t xml:space="preserve">Comprendre la segmentation réseau</w:t>
      </w:r>
    </w:p>
    <w:p>
      <w:pPr>
        <w:pStyle w:val="Compact"/>
        <w:numPr>
          <w:ilvl w:val="0"/>
          <w:numId w:val="1004"/>
        </w:numPr>
      </w:pPr>
      <w:r>
        <w:t xml:space="preserve">Identifier les flux autorisés et interdits</w:t>
      </w:r>
    </w:p>
    <w:bookmarkEnd w:id="29"/>
    <w:bookmarkStart w:id="30" w:name="architecture-mise-en-place"/>
    <w:p>
      <w:pPr>
        <w:pStyle w:val="Heading2"/>
      </w:pPr>
      <w:r>
        <w:t xml:space="preserve">Architecture mise en place</w:t>
      </w:r>
    </w:p>
    <w:p>
      <w:pPr>
        <w:pStyle w:val="Compact"/>
        <w:numPr>
          <w:ilvl w:val="0"/>
          <w:numId w:val="1005"/>
        </w:numPr>
      </w:pPr>
      <w:r>
        <w:t xml:space="preserve">Réseau public (NAT)</w:t>
      </w:r>
    </w:p>
    <w:p>
      <w:pPr>
        <w:pStyle w:val="Compact"/>
        <w:numPr>
          <w:ilvl w:val="0"/>
          <w:numId w:val="1005"/>
        </w:numPr>
      </w:pPr>
      <w:r>
        <w:t xml:space="preserve">DMZ (services Web)</w:t>
      </w:r>
    </w:p>
    <w:p>
      <w:pPr>
        <w:pStyle w:val="Compact"/>
        <w:numPr>
          <w:ilvl w:val="0"/>
          <w:numId w:val="1005"/>
        </w:numPr>
      </w:pPr>
      <w:r>
        <w:t xml:space="preserve">Réseau interne (LAN)</w:t>
      </w:r>
    </w:p>
    <w:p>
      <w:pPr>
        <w:pStyle w:val="FirstParagraph"/>
      </w:pPr>
      <w:r>
        <w:t xml:space="preserve">Cette segmentation permet de limiter la propagation des attaques et de contrôler les flux réseau.</w:t>
      </w:r>
    </w:p>
    <w:bookmarkEnd w:id="30"/>
    <w:bookmarkStart w:id="31" w:name="tableau-des-flux"/>
    <w:p>
      <w:pPr>
        <w:pStyle w:val="Heading2"/>
      </w:pPr>
      <w:r>
        <w:t xml:space="preserve">Tableau des flux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Destination</w:t>
            </w:r>
          </w:p>
        </w:tc>
        <w:tc>
          <w:tcPr/>
          <w:p>
            <w:pPr>
              <w:pStyle w:val="Compact"/>
            </w:pPr>
            <w:r>
              <w:t xml:space="preserve">Port</w:t>
            </w:r>
          </w:p>
        </w:tc>
        <w:tc>
          <w:tcPr/>
          <w:p>
            <w:pPr>
              <w:pStyle w:val="Compact"/>
            </w:pPr>
            <w:r>
              <w:t xml:space="preserve">Autorisé</w:t>
            </w:r>
          </w:p>
        </w:tc>
        <w:tc>
          <w:tcPr/>
          <w:p>
            <w:pPr>
              <w:pStyle w:val="Compact"/>
            </w:pPr>
            <w:r>
              <w:t xml:space="preserve">Justification</w:t>
            </w:r>
          </w:p>
        </w:tc>
      </w:tr>
      <w:tr>
        <w:tc>
          <w:tcPr/>
          <w:p>
            <w:pPr>
              <w:pStyle w:val="Compact"/>
            </w:pPr>
            <w:r>
              <w:t xml:space="preserve">Internet</w:t>
            </w:r>
          </w:p>
        </w:tc>
        <w:tc>
          <w:tcPr/>
          <w:p>
            <w:pPr>
              <w:pStyle w:val="Compact"/>
            </w:pPr>
            <w:r>
              <w:t xml:space="preserve">Web DMZ</w:t>
            </w:r>
          </w:p>
        </w:tc>
        <w:tc>
          <w:tcPr/>
          <w:p>
            <w:pPr>
              <w:pStyle w:val="Compact"/>
            </w:pPr>
            <w:r>
              <w:t xml:space="preserve">80</w:t>
            </w:r>
          </w:p>
        </w:tc>
        <w:tc>
          <w:tcPr/>
          <w:p>
            <w:pPr>
              <w:pStyle w:val="Compact"/>
            </w:pPr>
            <w:r>
              <w:t xml:space="preserve">Oui</w:t>
            </w:r>
          </w:p>
        </w:tc>
        <w:tc>
          <w:tcPr/>
          <w:p>
            <w:pPr>
              <w:pStyle w:val="Compact"/>
            </w:pPr>
            <w:r>
              <w:t xml:space="preserve">Accès public</w:t>
            </w:r>
          </w:p>
        </w:tc>
      </w:tr>
      <w:tr>
        <w:tc>
          <w:tcPr/>
          <w:p>
            <w:pPr>
              <w:pStyle w:val="Compact"/>
            </w:pPr>
            <w:r>
              <w:t xml:space="preserve">LAN</w:t>
            </w:r>
          </w:p>
        </w:tc>
        <w:tc>
          <w:tcPr/>
          <w:p>
            <w:pPr>
              <w:pStyle w:val="Compact"/>
            </w:pPr>
            <w:r>
              <w:t xml:space="preserve">Web DMZ</w:t>
            </w:r>
          </w:p>
        </w:tc>
        <w:tc>
          <w:tcPr/>
          <w:p>
            <w:pPr>
              <w:pStyle w:val="Compact"/>
            </w:pPr>
            <w:r>
              <w:t xml:space="preserve">80</w:t>
            </w:r>
          </w:p>
        </w:tc>
        <w:tc>
          <w:tcPr/>
          <w:p>
            <w:pPr>
              <w:pStyle w:val="Compact"/>
            </w:pPr>
            <w:r>
              <w:t xml:space="preserve">Oui</w:t>
            </w:r>
          </w:p>
        </w:tc>
        <w:tc>
          <w:tcPr/>
          <w:p>
            <w:pPr>
              <w:pStyle w:val="Compact"/>
            </w:pPr>
            <w:r>
              <w:t xml:space="preserve">Accès interne</w:t>
            </w:r>
          </w:p>
        </w:tc>
      </w:tr>
      <w:tr>
        <w:tc>
          <w:tcPr/>
          <w:p>
            <w:pPr>
              <w:pStyle w:val="Compact"/>
            </w:pPr>
            <w:r>
              <w:t xml:space="preserve">Internet</w:t>
            </w:r>
          </w:p>
        </w:tc>
        <w:tc>
          <w:tcPr/>
          <w:p>
            <w:pPr>
              <w:pStyle w:val="Compact"/>
            </w:pPr>
            <w:r>
              <w:t xml:space="preserve">LAN</w:t>
            </w:r>
          </w:p>
        </w:tc>
        <w:tc>
          <w:tcPr/>
          <w:p>
            <w:pPr>
              <w:pStyle w:val="Compact"/>
            </w:pPr>
            <w:r>
              <w:t xml:space="preserve">*</w:t>
            </w:r>
          </w:p>
        </w:tc>
        <w:tc>
          <w:tcPr/>
          <w:p>
            <w:pPr>
              <w:pStyle w:val="Compact"/>
            </w:pPr>
            <w:r>
              <w:t xml:space="preserve">Non</w:t>
            </w:r>
          </w:p>
        </w:tc>
        <w:tc>
          <w:tcPr/>
          <w:p>
            <w:pPr>
              <w:pStyle w:val="Compact"/>
            </w:pPr>
            <w:r>
              <w:t xml:space="preserve">Sécurité</w:t>
            </w:r>
          </w:p>
        </w:tc>
      </w:tr>
    </w:tbl>
    <w:p>
      <w:r>
        <w:pict>
          <v:rect style="width:0;height:1.5pt" o:hralign="center" o:hrstd="t" o:hr="t"/>
        </w:pict>
      </w:r>
    </w:p>
    <w:bookmarkEnd w:id="31"/>
    <w:bookmarkEnd w:id="32"/>
    <w:bookmarkStart w:id="36" w:name="phase-2-sécurité-réseau"/>
    <w:p>
      <w:pPr>
        <w:pStyle w:val="Heading1"/>
      </w:pPr>
      <w:r>
        <w:t xml:space="preserve">PHASE 2 — SÉCURITÉ RÉSEAU</w:t>
      </w:r>
    </w:p>
    <w:p>
      <w:pPr>
        <w:pStyle w:val="FirstParagraph"/>
      </w:pPr>
      <w:r>
        <w:rPr>
          <w:b/>
          <w:bCs/>
        </w:rPr>
        <w:t xml:space="preserve">Fonction NIST : PROTECT</w:t>
      </w:r>
    </w:p>
    <w:bookmarkStart w:id="33" w:name="objectifs-2"/>
    <w:p>
      <w:pPr>
        <w:pStyle w:val="Heading2"/>
      </w:pPr>
      <w:r>
        <w:t xml:space="preserve">Objectifs</w:t>
      </w:r>
    </w:p>
    <w:p>
      <w:pPr>
        <w:pStyle w:val="Compact"/>
        <w:numPr>
          <w:ilvl w:val="0"/>
          <w:numId w:val="1006"/>
        </w:numPr>
      </w:pPr>
      <w:r>
        <w:t xml:space="preserve">Réduire la surface d’attaque</w:t>
      </w:r>
    </w:p>
    <w:p>
      <w:pPr>
        <w:pStyle w:val="Compact"/>
        <w:numPr>
          <w:ilvl w:val="0"/>
          <w:numId w:val="1006"/>
        </w:numPr>
      </w:pPr>
      <w:r>
        <w:t xml:space="preserve">Mettre en place un filtrage réseau</w:t>
      </w:r>
    </w:p>
    <w:bookmarkEnd w:id="33"/>
    <w:bookmarkStart w:id="34" w:name="actions-réalisées"/>
    <w:p>
      <w:pPr>
        <w:pStyle w:val="Heading2"/>
      </w:pPr>
      <w:r>
        <w:t xml:space="preserve">Actions réalisées</w:t>
      </w:r>
    </w:p>
    <w:p>
      <w:pPr>
        <w:pStyle w:val="Compact"/>
        <w:numPr>
          <w:ilvl w:val="0"/>
          <w:numId w:val="1007"/>
        </w:numPr>
      </w:pPr>
      <w:r>
        <w:t xml:space="preserve">Scan réseau initial avec Nmap</w:t>
      </w:r>
    </w:p>
    <w:p>
      <w:pPr>
        <w:pStyle w:val="Compact"/>
        <w:numPr>
          <w:ilvl w:val="0"/>
          <w:numId w:val="1007"/>
        </w:numPr>
      </w:pPr>
      <w:r>
        <w:t xml:space="preserve">Identification des ports ouverts</w:t>
      </w:r>
    </w:p>
    <w:p>
      <w:pPr>
        <w:pStyle w:val="Compact"/>
        <w:numPr>
          <w:ilvl w:val="0"/>
          <w:numId w:val="1007"/>
        </w:numPr>
      </w:pPr>
      <w:r>
        <w:t xml:space="preserve">Mise en place de règles iptables</w:t>
      </w:r>
    </w:p>
    <w:p>
      <w:pPr>
        <w:pStyle w:val="Compact"/>
        <w:numPr>
          <w:ilvl w:val="0"/>
          <w:numId w:val="1007"/>
        </w:numPr>
      </w:pPr>
      <w:r>
        <w:t xml:space="preserve">Filtrage des réseaux Docker</w:t>
      </w:r>
    </w:p>
    <w:bookmarkEnd w:id="34"/>
    <w:bookmarkStart w:id="35" w:name="résultat"/>
    <w:p>
      <w:pPr>
        <w:pStyle w:val="Heading2"/>
      </w:pPr>
      <w:r>
        <w:t xml:space="preserve">Résultat</w:t>
      </w:r>
    </w:p>
    <w:p>
      <w:pPr>
        <w:pStyle w:val="FirstParagraph"/>
      </w:pPr>
      <w:r>
        <w:t xml:space="preserve">Une réduction significative des ports exposés a été constatée après la mise en œuvre des règles de filtrage.</w:t>
      </w:r>
    </w:p>
    <w:p>
      <w:r>
        <w:pict>
          <v:rect style="width:0;height:1.5pt" o:hralign="center" o:hrstd="t" o:hr="t"/>
        </w:pict>
      </w:r>
    </w:p>
    <w:bookmarkEnd w:id="35"/>
    <w:bookmarkEnd w:id="36"/>
    <w:bookmarkStart w:id="38" w:name="phase-3-sécurité-système-linux"/>
    <w:p>
      <w:pPr>
        <w:pStyle w:val="Heading1"/>
      </w:pPr>
      <w:r>
        <w:t xml:space="preserve">PHASE 3 — SÉCURITÉ SYSTÈME LINUX</w:t>
      </w:r>
    </w:p>
    <w:p>
      <w:pPr>
        <w:pStyle w:val="FirstParagraph"/>
      </w:pPr>
      <w:r>
        <w:rPr>
          <w:b/>
          <w:bCs/>
        </w:rPr>
        <w:t xml:space="preserve">Fonction NIST : PROTECT</w:t>
      </w:r>
    </w:p>
    <w:bookmarkStart w:id="37" w:name="mesures-appliquées"/>
    <w:p>
      <w:pPr>
        <w:pStyle w:val="Heading2"/>
      </w:pPr>
      <w:r>
        <w:t xml:space="preserve">Mesures appliquées</w:t>
      </w:r>
    </w:p>
    <w:p>
      <w:pPr>
        <w:pStyle w:val="Compact"/>
        <w:numPr>
          <w:ilvl w:val="0"/>
          <w:numId w:val="1008"/>
        </w:numPr>
      </w:pPr>
      <w:r>
        <w:t xml:space="preserve">Gestion des comptes utilisateurs</w:t>
      </w:r>
    </w:p>
    <w:p>
      <w:pPr>
        <w:pStyle w:val="Compact"/>
        <w:numPr>
          <w:ilvl w:val="0"/>
          <w:numId w:val="1008"/>
        </w:numPr>
      </w:pPr>
      <w:r>
        <w:t xml:space="preserve">Interdiction du login root via SSH</w:t>
      </w:r>
    </w:p>
    <w:p>
      <w:pPr>
        <w:pStyle w:val="Compact"/>
        <w:numPr>
          <w:ilvl w:val="0"/>
          <w:numId w:val="1008"/>
        </w:numPr>
      </w:pPr>
      <w:r>
        <w:t xml:space="preserve">Changement du port SSH</w:t>
      </w:r>
    </w:p>
    <w:p>
      <w:pPr>
        <w:pStyle w:val="Compact"/>
        <w:numPr>
          <w:ilvl w:val="0"/>
          <w:numId w:val="1008"/>
        </w:numPr>
      </w:pPr>
      <w:r>
        <w:t xml:space="preserve">Permissions strictes sur les fichiers sensibles</w:t>
      </w:r>
    </w:p>
    <w:p>
      <w:pPr>
        <w:pStyle w:val="Compact"/>
        <w:numPr>
          <w:ilvl w:val="0"/>
          <w:numId w:val="1008"/>
        </w:numPr>
      </w:pPr>
      <w:r>
        <w:t xml:space="preserve">Désactivation des services inutiles</w:t>
      </w:r>
    </w:p>
    <w:p>
      <w:pPr>
        <w:pStyle w:val="FirstParagraph"/>
      </w:pPr>
      <w:r>
        <w:t xml:space="preserve">Ces actions renforcent la sécurité du système et limitent les vecteurs d’attaque.</w:t>
      </w:r>
    </w:p>
    <w:p>
      <w:r>
        <w:pict>
          <v:rect style="width:0;height:1.5pt" o:hralign="center" o:hrstd="t" o:hr="t"/>
        </w:pict>
      </w:r>
    </w:p>
    <w:bookmarkEnd w:id="37"/>
    <w:bookmarkEnd w:id="38"/>
    <w:bookmarkStart w:id="42" w:name="phase-4-sécurité-web"/>
    <w:p>
      <w:pPr>
        <w:pStyle w:val="Heading1"/>
      </w:pPr>
      <w:r>
        <w:t xml:space="preserve">PHASE 4 — SÉCURITÉ WEB</w:t>
      </w:r>
    </w:p>
    <w:p>
      <w:pPr>
        <w:pStyle w:val="FirstParagraph"/>
      </w:pPr>
      <w:r>
        <w:rPr>
          <w:b/>
          <w:bCs/>
        </w:rPr>
        <w:t xml:space="preserve">Fonction NIST : PROTECT</w:t>
      </w:r>
    </w:p>
    <w:bookmarkStart w:id="39" w:name="outils-utilisés"/>
    <w:p>
      <w:pPr>
        <w:pStyle w:val="Heading2"/>
      </w:pPr>
      <w:r>
        <w:t xml:space="preserve">Outils utilisés</w:t>
      </w:r>
    </w:p>
    <w:p>
      <w:pPr>
        <w:pStyle w:val="Compact"/>
        <w:numPr>
          <w:ilvl w:val="0"/>
          <w:numId w:val="1009"/>
        </w:numPr>
      </w:pPr>
      <w:r>
        <w:t xml:space="preserve">Nikto</w:t>
      </w:r>
    </w:p>
    <w:p>
      <w:pPr>
        <w:pStyle w:val="Compact"/>
        <w:numPr>
          <w:ilvl w:val="0"/>
          <w:numId w:val="1009"/>
        </w:numPr>
      </w:pPr>
      <w:r>
        <w:t xml:space="preserve">curl</w:t>
      </w:r>
    </w:p>
    <w:p>
      <w:pPr>
        <w:pStyle w:val="Compact"/>
        <w:numPr>
          <w:ilvl w:val="0"/>
          <w:numId w:val="1009"/>
        </w:numPr>
      </w:pPr>
      <w:r>
        <w:t xml:space="preserve">Navigateur Web</w:t>
      </w:r>
    </w:p>
    <w:bookmarkEnd w:id="39"/>
    <w:bookmarkStart w:id="40" w:name="vulnérabilités-identifiées"/>
    <w:p>
      <w:pPr>
        <w:pStyle w:val="Heading2"/>
      </w:pPr>
      <w:r>
        <w:t xml:space="preserve">Vulnérabilités identifiées</w:t>
      </w:r>
    </w:p>
    <w:p>
      <w:pPr>
        <w:pStyle w:val="Compact"/>
        <w:numPr>
          <w:ilvl w:val="0"/>
          <w:numId w:val="1010"/>
        </w:numPr>
      </w:pPr>
      <w:r>
        <w:t xml:space="preserve">Headers HTTP manquants</w:t>
      </w:r>
    </w:p>
    <w:p>
      <w:pPr>
        <w:pStyle w:val="Compact"/>
        <w:numPr>
          <w:ilvl w:val="0"/>
          <w:numId w:val="1010"/>
        </w:numPr>
      </w:pPr>
      <w:r>
        <w:t xml:space="preserve">Répertoires accessibles</w:t>
      </w:r>
    </w:p>
    <w:p>
      <w:pPr>
        <w:pStyle w:val="Compact"/>
        <w:numPr>
          <w:ilvl w:val="0"/>
          <w:numId w:val="1010"/>
        </w:numPr>
      </w:pPr>
      <w:r>
        <w:t xml:space="preserve">Absence de HTTPS</w:t>
      </w:r>
    </w:p>
    <w:bookmarkEnd w:id="40"/>
    <w:bookmarkStart w:id="41" w:name="impact"/>
    <w:p>
      <w:pPr>
        <w:pStyle w:val="Heading2"/>
      </w:pPr>
      <w:r>
        <w:t xml:space="preserve">Impact</w:t>
      </w:r>
    </w:p>
    <w:p>
      <w:pPr>
        <w:pStyle w:val="FirstParagraph"/>
      </w:pPr>
      <w:r>
        <w:t xml:space="preserve">Ces vulnérabilités facilitent la reconnaissance et augmentent les risques d’attaque côté client et serveur.</w:t>
      </w:r>
    </w:p>
    <w:p>
      <w:r>
        <w:pict>
          <v:rect style="width:0;height:1.5pt" o:hralign="center" o:hrstd="t" o:hr="t"/>
        </w:pict>
      </w:r>
    </w:p>
    <w:bookmarkEnd w:id="41"/>
    <w:bookmarkEnd w:id="42"/>
    <w:bookmarkStart w:id="46" w:name="phase-5-détection-logs-et-forensic"/>
    <w:p>
      <w:pPr>
        <w:pStyle w:val="Heading1"/>
      </w:pPr>
      <w:r>
        <w:t xml:space="preserve">PHASE 5 — DÉTECTION, LOGS ET FORENSIC</w:t>
      </w:r>
    </w:p>
    <w:p>
      <w:pPr>
        <w:pStyle w:val="FirstParagraph"/>
      </w:pPr>
      <w:r>
        <w:rPr>
          <w:b/>
          <w:bCs/>
        </w:rPr>
        <w:t xml:space="preserve">Fonction NIST : DETECT</w:t>
      </w:r>
    </w:p>
    <w:bookmarkStart w:id="43" w:name="logs-analysés"/>
    <w:p>
      <w:pPr>
        <w:pStyle w:val="Heading2"/>
      </w:pPr>
      <w:r>
        <w:t xml:space="preserve">Logs analysés</w:t>
      </w:r>
    </w:p>
    <w:p>
      <w:pPr>
        <w:pStyle w:val="Compact"/>
        <w:numPr>
          <w:ilvl w:val="0"/>
          <w:numId w:val="1011"/>
        </w:numPr>
      </w:pPr>
      <w:r>
        <w:t xml:space="preserve">/var/log/auth.log</w:t>
      </w:r>
    </w:p>
    <w:p>
      <w:pPr>
        <w:pStyle w:val="Compact"/>
        <w:numPr>
          <w:ilvl w:val="0"/>
          <w:numId w:val="1011"/>
        </w:numPr>
      </w:pPr>
      <w:r>
        <w:t xml:space="preserve">Logs Nginx (access.log, error.log)</w:t>
      </w:r>
    </w:p>
    <w:bookmarkEnd w:id="43"/>
    <w:bookmarkStart w:id="44" w:name="analyse"/>
    <w:p>
      <w:pPr>
        <w:pStyle w:val="Heading2"/>
      </w:pPr>
      <w:r>
        <w:t xml:space="preserve">Analyse</w:t>
      </w:r>
    </w:p>
    <w:p>
      <w:pPr>
        <w:pStyle w:val="FirstParagraph"/>
      </w:pPr>
      <w:r>
        <w:t xml:space="preserve">Les journaux ont permis d’identifier des scans réseau et des tentatives d’accès non autorisées.</w:t>
      </w:r>
    </w:p>
    <w:bookmarkEnd w:id="44"/>
    <w:bookmarkStart w:id="45" w:name="timeline-simplifiée"/>
    <w:p>
      <w:pPr>
        <w:pStyle w:val="Heading2"/>
      </w:pPr>
      <w:r>
        <w:t xml:space="preserve">Timeline simplifiée</w:t>
      </w:r>
    </w:p>
    <w:p>
      <w:pPr>
        <w:pStyle w:val="Compact"/>
        <w:numPr>
          <w:ilvl w:val="0"/>
          <w:numId w:val="1012"/>
        </w:numPr>
      </w:pPr>
      <w:r>
        <w:t xml:space="preserve">Scan réseau</w:t>
      </w:r>
    </w:p>
    <w:p>
      <w:pPr>
        <w:pStyle w:val="Compact"/>
        <w:numPr>
          <w:ilvl w:val="0"/>
          <w:numId w:val="1012"/>
        </w:numPr>
      </w:pPr>
      <w:r>
        <w:t xml:space="preserve">Tentative d’accès</w:t>
      </w:r>
    </w:p>
    <w:p>
      <w:pPr>
        <w:pStyle w:val="Compact"/>
        <w:numPr>
          <w:ilvl w:val="0"/>
          <w:numId w:val="1012"/>
        </w:numPr>
      </w:pPr>
      <w:r>
        <w:t xml:space="preserve">Rejet par le pare-feu</w:t>
      </w:r>
    </w:p>
    <w:p>
      <w:r>
        <w:pict>
          <v:rect style="width:0;height:1.5pt" o:hralign="center" o:hrstd="t" o:hr="t"/>
        </w:pict>
      </w:r>
    </w:p>
    <w:bookmarkEnd w:id="45"/>
    <w:bookmarkEnd w:id="46"/>
    <w:bookmarkStart w:id="49" w:name="phase-6-réponse-et-amélioration"/>
    <w:p>
      <w:pPr>
        <w:pStyle w:val="Heading1"/>
      </w:pPr>
      <w:r>
        <w:t xml:space="preserve">PHASE 6 — RÉPONSE ET AMÉLIORATION</w:t>
      </w:r>
    </w:p>
    <w:p>
      <w:pPr>
        <w:pStyle w:val="FirstParagraph"/>
      </w:pPr>
      <w:r>
        <w:rPr>
          <w:b/>
          <w:bCs/>
        </w:rPr>
        <w:t xml:space="preserve">Fonctions NIST : RESPOND &amp; RECOVER</w:t>
      </w:r>
    </w:p>
    <w:bookmarkStart w:id="47" w:name="plan-de-réponse"/>
    <w:p>
      <w:pPr>
        <w:pStyle w:val="Heading2"/>
      </w:pPr>
      <w:r>
        <w:t xml:space="preserve">Plan de réponse</w:t>
      </w:r>
    </w:p>
    <w:p>
      <w:pPr>
        <w:pStyle w:val="Compact"/>
        <w:numPr>
          <w:ilvl w:val="0"/>
          <w:numId w:val="1013"/>
        </w:numPr>
      </w:pPr>
      <w:r>
        <w:t xml:space="preserve">Détection</w:t>
      </w:r>
    </w:p>
    <w:p>
      <w:pPr>
        <w:pStyle w:val="Compact"/>
        <w:numPr>
          <w:ilvl w:val="0"/>
          <w:numId w:val="1013"/>
        </w:numPr>
      </w:pPr>
      <w:r>
        <w:t xml:space="preserve">Analyse</w:t>
      </w:r>
    </w:p>
    <w:p>
      <w:pPr>
        <w:pStyle w:val="Compact"/>
        <w:numPr>
          <w:ilvl w:val="0"/>
          <w:numId w:val="1013"/>
        </w:numPr>
      </w:pPr>
      <w:r>
        <w:t xml:space="preserve">Confinement</w:t>
      </w:r>
    </w:p>
    <w:p>
      <w:pPr>
        <w:pStyle w:val="Compact"/>
        <w:numPr>
          <w:ilvl w:val="0"/>
          <w:numId w:val="1013"/>
        </w:numPr>
      </w:pPr>
      <w:r>
        <w:t xml:space="preserve">Éradication</w:t>
      </w:r>
    </w:p>
    <w:p>
      <w:pPr>
        <w:pStyle w:val="Compact"/>
        <w:numPr>
          <w:ilvl w:val="0"/>
          <w:numId w:val="1013"/>
        </w:numPr>
      </w:pPr>
      <w:r>
        <w:t xml:space="preserve">Rétablissement</w:t>
      </w:r>
    </w:p>
    <w:bookmarkEnd w:id="47"/>
    <w:bookmarkStart w:id="48" w:name="améliorations-proposées"/>
    <w:p>
      <w:pPr>
        <w:pStyle w:val="Heading2"/>
      </w:pPr>
      <w:r>
        <w:t xml:space="preserve">Améliorations proposées</w:t>
      </w:r>
    </w:p>
    <w:p>
      <w:pPr>
        <w:pStyle w:val="Compact"/>
        <w:numPr>
          <w:ilvl w:val="0"/>
          <w:numId w:val="1014"/>
        </w:numPr>
      </w:pPr>
      <w:r>
        <w:t xml:space="preserve">Mise en place du HTTPS</w:t>
      </w:r>
    </w:p>
    <w:p>
      <w:pPr>
        <w:pStyle w:val="Compact"/>
        <w:numPr>
          <w:ilvl w:val="0"/>
          <w:numId w:val="1014"/>
        </w:numPr>
      </w:pPr>
      <w:r>
        <w:t xml:space="preserve">Ajout d’un IDS/IPS</w:t>
      </w:r>
    </w:p>
    <w:p>
      <w:pPr>
        <w:pStyle w:val="Compact"/>
        <w:numPr>
          <w:ilvl w:val="0"/>
          <w:numId w:val="1014"/>
        </w:numPr>
      </w:pPr>
      <w:r>
        <w:t xml:space="preserve">Centralisation des logs</w:t>
      </w:r>
    </w:p>
    <w:p>
      <w:pPr>
        <w:pStyle w:val="Compact"/>
        <w:numPr>
          <w:ilvl w:val="0"/>
          <w:numId w:val="1014"/>
        </w:numPr>
      </w:pPr>
      <w:r>
        <w:t xml:space="preserve">Audits réguliers</w:t>
      </w:r>
    </w:p>
    <w:p>
      <w:r>
        <w:pict>
          <v:rect style="width:0;height:1.5pt" o:hralign="center" o:hrstd="t" o:hr="t"/>
        </w:pict>
      </w:r>
    </w:p>
    <w:bookmarkEnd w:id="48"/>
    <w:bookmarkEnd w:id="49"/>
    <w:bookmarkStart w:id="50" w:name="conclusion-générale"/>
    <w:p>
      <w:pPr>
        <w:pStyle w:val="Heading1"/>
      </w:pPr>
      <w:r>
        <w:t xml:space="preserve">CONCLUSION GÉNÉRALE</w:t>
      </w:r>
    </w:p>
    <w:p>
      <w:pPr>
        <w:pStyle w:val="FirstParagraph"/>
      </w:pPr>
      <w:r>
        <w:t xml:space="preserve">Ce projet a permis de concevoir, déployer et sécuriser une infrastructure informatique virtualisée reproduisant une architecture réseau d’entreprise segmentée. L’approche méthodique basée sur le NIST Cybersecurity Framework a permis de couvrir l’ensemble du cycle de la cybersécurité, de l’identification des actifs à la réponse à incident.</w:t>
      </w:r>
    </w:p>
    <w:p>
      <w:pPr>
        <w:pStyle w:val="BodyText"/>
      </w:pPr>
      <w:r>
        <w:t xml:space="preserve">Il met en évidence l’importance de la segmentation réseau, du durcissement système, de la sécurité applicative et de la surveillance continue. Les améliorations proposées ouvrent la voie à une infrastructure plus résiliente et mieux préparée face aux menaces futures.</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2026-01-13T17:23:04Z</dcterms:created>
  <dcterms:modified xsi:type="dcterms:W3CDTF">2026-01-13T17:23:04Z</dcterms:modified>
</cp:coreProperties>
</file>

<file path=docProps/custom.xml><?xml version="1.0" encoding="utf-8"?>
<Properties xmlns="http://schemas.openxmlformats.org/officeDocument/2006/custom-properties" xmlns:vt="http://schemas.openxmlformats.org/officeDocument/2006/docPropsVTypes"/>
</file>