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5000" w:type="pct"/>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a0" w:noHBand="0" w:lastColumn="0" w:firstColumn="1" w:lastRow="0" w:firstRow="1"/>
      </w:tblPr>
      <w:tblGrid>
        <w:gridCol w:w="2406"/>
        <w:gridCol w:w="3477"/>
        <w:gridCol w:w="3477"/>
      </w:tblGrid>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rPr>
                <w:rFonts w:ascii="Arial" w:hAnsi="Arial" w:eastAsia="Calibri" w:cs="Arial"/>
                <w:b/>
                <w:b/>
                <w:bCs/>
                <w:sz w:val="20"/>
                <w:szCs w:val="20"/>
              </w:rPr>
            </w:pPr>
            <w:r>
              <w:rPr>
                <w:rFonts w:eastAsia="Calibri" w:cs="Arial" w:ascii="Arial" w:hAnsi="Arial"/>
                <w:b/>
                <w:bCs/>
                <w:sz w:val="20"/>
                <w:szCs w:val="20"/>
              </w:rPr>
              <w:t>Client:</w:t>
            </w:r>
          </w:p>
        </w:tc>
        <w:tc>
          <w:tcPr>
            <w:tcW w:w="6954" w:type="dxa"/>
            <w:gridSpan w:val="2"/>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52" w:before="0" w:after="160"/>
              <w:rPr>
                <w:rFonts w:ascii="Arial" w:hAnsi="Arial" w:eastAsia="Calibri" w:cs="Arial"/>
                <w:b/>
                <w:b/>
                <w:bCs/>
                <w:sz w:val="20"/>
                <w:szCs w:val="20"/>
              </w:rPr>
            </w:pPr>
            <w:r>
              <w:rPr>
                <w:rFonts w:eastAsia="Calibri" w:cs="Arial" w:ascii="Arial" w:hAnsi="Arial"/>
                <w:b/>
                <w:bCs/>
                <w:sz w:val="20"/>
                <w:szCs w:val="20"/>
              </w:rPr>
              <w:t>$(client)</w:t>
            </w:r>
          </w:p>
        </w:tc>
      </w:tr>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rPr>
                <w:rFonts w:ascii="Arial" w:hAnsi="Arial" w:eastAsia="Calibri" w:cs="Arial"/>
                <w:b/>
                <w:b/>
                <w:bCs/>
                <w:sz w:val="20"/>
                <w:szCs w:val="20"/>
              </w:rPr>
            </w:pPr>
            <w:r>
              <w:rPr>
                <w:rFonts w:eastAsia="Calibri" w:cs="Arial" w:ascii="Arial" w:hAnsi="Arial"/>
                <w:b/>
                <w:bCs/>
                <w:sz w:val="20"/>
                <w:szCs w:val="20"/>
              </w:rPr>
              <w:t>Period end date:</w:t>
            </w:r>
          </w:p>
        </w:tc>
        <w:tc>
          <w:tcPr>
            <w:tcW w:w="6954" w:type="dxa"/>
            <w:gridSpan w:val="2"/>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52" w:before="0" w:after="160"/>
              <w:rPr>
                <w:rFonts w:ascii="Arial" w:hAnsi="Arial" w:eastAsia="Calibri" w:cs="Arial"/>
                <w:b/>
                <w:b/>
                <w:bCs/>
                <w:sz w:val="20"/>
                <w:szCs w:val="20"/>
              </w:rPr>
            </w:pPr>
            <w:r>
              <w:rPr>
                <w:rFonts w:eastAsia="Calibri" w:cs="Arial" w:ascii="Arial" w:hAnsi="Arial"/>
                <w:b/>
                <w:bCs/>
                <w:sz w:val="20"/>
                <w:szCs w:val="20"/>
              </w:rPr>
              <w:t>$(start) - $(end)</w:t>
            </w:r>
          </w:p>
        </w:tc>
      </w:tr>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rPr>
                <w:rFonts w:ascii="Arial" w:hAnsi="Arial" w:eastAsia="Calibri" w:cs="Arial"/>
                <w:b/>
                <w:b/>
                <w:bCs/>
                <w:sz w:val="20"/>
                <w:szCs w:val="20"/>
              </w:rPr>
            </w:pPr>
            <w:r>
              <w:rPr>
                <w:rFonts w:eastAsia="Calibri" w:cs="Arial" w:ascii="Arial" w:hAnsi="Arial"/>
                <w:b/>
                <w:bCs/>
                <w:sz w:val="20"/>
                <w:szCs w:val="20"/>
              </w:rPr>
              <w:t>EGA title:</w:t>
            </w:r>
          </w:p>
        </w:tc>
        <w:tc>
          <w:tcPr>
            <w:tcW w:w="6954" w:type="dxa"/>
            <w:gridSpan w:val="2"/>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rPr>
                <w:rFonts w:ascii="Arial" w:hAnsi="Arial" w:eastAsia="Calibri" w:cs="Arial"/>
                <w:sz w:val="20"/>
                <w:szCs w:val="20"/>
              </w:rPr>
            </w:pPr>
            <w:r>
              <w:rPr>
                <w:rFonts w:eastAsia="Calibri" w:cs="Arial" w:ascii="Arial" w:hAnsi="Arial"/>
                <w:sz w:val="20"/>
                <w:szCs w:val="20"/>
              </w:rPr>
              <w:t>*Going Concern</w:t>
            </w:r>
          </w:p>
        </w:tc>
      </w:tr>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rPr>
                <w:rFonts w:ascii="Arial" w:hAnsi="Arial" w:eastAsia="Calibri" w:cs="Arial"/>
                <w:b/>
                <w:b/>
                <w:bCs/>
                <w:sz w:val="20"/>
                <w:szCs w:val="20"/>
              </w:rPr>
            </w:pPr>
            <w:r>
              <w:rPr>
                <w:rFonts w:eastAsia="Calibri" w:cs="Arial" w:ascii="Arial" w:hAnsi="Arial"/>
                <w:b/>
                <w:bCs/>
                <w:sz w:val="20"/>
                <w:szCs w:val="20"/>
              </w:rPr>
              <w:t>Ref. no.:</w:t>
            </w:r>
          </w:p>
        </w:tc>
        <w:tc>
          <w:tcPr>
            <w:tcW w:w="6954" w:type="dxa"/>
            <w:gridSpan w:val="2"/>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52" w:before="0" w:after="160"/>
              <w:rPr>
                <w:rFonts w:ascii="Arial" w:hAnsi="Arial" w:eastAsia="Calibri" w:cs="Arial"/>
                <w:b/>
                <w:b/>
                <w:bCs/>
                <w:sz w:val="20"/>
                <w:szCs w:val="20"/>
              </w:rPr>
            </w:pPr>
            <w:r>
              <w:rPr>
                <w:rFonts w:eastAsia="Calibri" w:cs="Arial" w:ascii="Arial" w:hAnsi="Arial"/>
                <w:b/>
                <w:bCs/>
                <w:sz w:val="20"/>
                <w:szCs w:val="20"/>
              </w:rPr>
            </w:r>
          </w:p>
        </w:tc>
      </w:tr>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rPr>
                <w:rFonts w:ascii="Arial" w:hAnsi="Arial" w:eastAsia="Calibri" w:cs="Arial"/>
                <w:b/>
                <w:b/>
                <w:bCs/>
                <w:sz w:val="20"/>
                <w:szCs w:val="20"/>
              </w:rPr>
            </w:pPr>
            <w:r>
              <w:rPr>
                <w:rFonts w:eastAsia="Calibri" w:cs="Arial" w:ascii="Arial" w:hAnsi="Arial"/>
                <w:b/>
                <w:bCs/>
                <w:sz w:val="20"/>
                <w:szCs w:val="20"/>
              </w:rPr>
              <w:t>Prepared by:</w:t>
            </w:r>
          </w:p>
        </w:tc>
        <w:tc>
          <w:tcPr>
            <w:tcW w:w="3477"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rPr>
                <w:rFonts w:ascii="Arial" w:hAnsi="Arial" w:eastAsia="Calibri" w:cs="Arial"/>
                <w:sz w:val="20"/>
                <w:szCs w:val="20"/>
              </w:rPr>
            </w:pPr>
            <w:r>
              <w:rPr>
                <w:rFonts w:eastAsia="Calibri" w:cs="Arial" w:ascii="Arial" w:hAnsi="Arial"/>
                <w:sz w:val="20"/>
                <w:szCs w:val="20"/>
              </w:rPr>
              <w:t>$(user)</w:t>
            </w:r>
          </w:p>
        </w:tc>
        <w:tc>
          <w:tcPr>
            <w:tcW w:w="3477" w:type="dxa"/>
            <w:tcBorders>
              <w:top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rPr>
                <w:rFonts w:ascii="Arial" w:hAnsi="Arial" w:eastAsia="Calibri" w:cs="Arial"/>
                <w:b/>
                <w:b/>
                <w:sz w:val="20"/>
                <w:szCs w:val="20"/>
              </w:rPr>
            </w:pPr>
            <w:r>
              <w:rPr>
                <w:rFonts w:eastAsia="Calibri" w:cs="Arial" w:ascii="Arial" w:hAnsi="Arial"/>
                <w:b/>
                <w:sz w:val="20"/>
                <w:szCs w:val="20"/>
              </w:rPr>
              <w:t>Date:</w:t>
            </w:r>
          </w:p>
        </w:tc>
      </w:tr>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rPr>
                <w:rFonts w:ascii="Arial" w:hAnsi="Arial" w:eastAsia="Calibri" w:cs="Arial"/>
                <w:b/>
                <w:b/>
                <w:bCs/>
                <w:sz w:val="20"/>
                <w:szCs w:val="20"/>
              </w:rPr>
            </w:pPr>
            <w:r>
              <w:rPr>
                <w:rFonts w:eastAsia="Calibri" w:cs="Arial" w:ascii="Arial" w:hAnsi="Arial"/>
                <w:b/>
                <w:bCs/>
                <w:sz w:val="20"/>
                <w:szCs w:val="20"/>
              </w:rPr>
              <w:t xml:space="preserve">Approved by Manager: </w:t>
            </w:r>
          </w:p>
        </w:tc>
        <w:tc>
          <w:tcPr>
            <w:tcW w:w="3477"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rPr>
                <w:rFonts w:ascii="Arial" w:hAnsi="Arial" w:eastAsia="Calibri" w:cs="Arial"/>
                <w:sz w:val="20"/>
                <w:szCs w:val="20"/>
              </w:rPr>
            </w:pPr>
            <w:r>
              <w:rPr>
                <w:rFonts w:eastAsia="Calibri" w:cs="Arial" w:ascii="Arial" w:hAnsi="Arial"/>
                <w:sz w:val="20"/>
                <w:szCs w:val="20"/>
              </w:rPr>
            </w:r>
          </w:p>
        </w:tc>
        <w:tc>
          <w:tcPr>
            <w:tcW w:w="3477" w:type="dxa"/>
            <w:tcBorders>
              <w:top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rPr>
                <w:rFonts w:ascii="Arial" w:hAnsi="Arial" w:eastAsia="Calibri" w:cs="Arial"/>
                <w:b/>
                <w:b/>
                <w:sz w:val="20"/>
                <w:szCs w:val="20"/>
              </w:rPr>
            </w:pPr>
            <w:r>
              <w:rPr>
                <w:rFonts w:eastAsia="Calibri" w:cs="Arial" w:ascii="Arial" w:hAnsi="Arial"/>
                <w:b/>
                <w:sz w:val="20"/>
                <w:szCs w:val="20"/>
              </w:rPr>
              <w:t>Date:</w:t>
            </w:r>
          </w:p>
        </w:tc>
      </w:tr>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rPr>
                <w:rFonts w:ascii="Arial" w:hAnsi="Arial" w:eastAsia="Calibri" w:cs="Arial"/>
                <w:b/>
                <w:b/>
                <w:bCs/>
                <w:sz w:val="20"/>
                <w:szCs w:val="20"/>
              </w:rPr>
            </w:pPr>
            <w:r>
              <w:rPr>
                <w:rFonts w:eastAsia="Calibri" w:cs="Arial" w:ascii="Arial" w:hAnsi="Arial"/>
                <w:b/>
                <w:bCs/>
                <w:sz w:val="20"/>
                <w:szCs w:val="20"/>
              </w:rPr>
              <w:t>Approved by Partner:</w:t>
            </w:r>
          </w:p>
        </w:tc>
        <w:tc>
          <w:tcPr>
            <w:tcW w:w="3477"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rPr>
                <w:rFonts w:ascii="Arial" w:hAnsi="Arial" w:eastAsia="Calibri" w:cs="Arial"/>
                <w:sz w:val="20"/>
                <w:szCs w:val="20"/>
              </w:rPr>
            </w:pPr>
            <w:r>
              <w:rPr>
                <w:rFonts w:eastAsia="Calibri" w:cs="Arial" w:ascii="Arial" w:hAnsi="Arial"/>
                <w:sz w:val="20"/>
                <w:szCs w:val="20"/>
              </w:rPr>
            </w:r>
          </w:p>
        </w:tc>
        <w:tc>
          <w:tcPr>
            <w:tcW w:w="3477" w:type="dxa"/>
            <w:tcBorders>
              <w:top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rPr>
                <w:rFonts w:ascii="Arial" w:hAnsi="Arial" w:eastAsia="Calibri" w:cs="Arial"/>
                <w:b/>
                <w:b/>
                <w:sz w:val="20"/>
                <w:szCs w:val="20"/>
              </w:rPr>
            </w:pPr>
            <w:r>
              <w:rPr>
                <w:rFonts w:eastAsia="Calibri" w:cs="Arial" w:ascii="Arial" w:hAnsi="Arial"/>
                <w:b/>
                <w:sz w:val="20"/>
                <w:szCs w:val="20"/>
              </w:rPr>
              <w:t>Date:</w:t>
            </w:r>
          </w:p>
        </w:tc>
      </w:tr>
    </w:tbl>
    <w:p>
      <w:pPr>
        <w:pStyle w:val="Normal"/>
        <w:spacing w:lineRule="auto" w:line="240" w:before="240" w:after="160"/>
        <w:jc w:val="both"/>
        <w:rPr>
          <w:rFonts w:ascii="Arial" w:hAnsi="Arial" w:cs="Arial"/>
          <w:b/>
          <w:b/>
          <w:sz w:val="20"/>
          <w:szCs w:val="20"/>
        </w:rPr>
      </w:pPr>
      <w:r>
        <w:rPr>
          <w:rFonts w:cs="Arial" w:ascii="Arial" w:hAnsi="Arial"/>
          <w:b/>
          <w:sz w:val="20"/>
          <w:szCs w:val="20"/>
        </w:rPr>
      </w:r>
      <w:bookmarkStart w:id="0" w:name="_GoBack"/>
      <w:bookmarkStart w:id="1" w:name="_GoBack"/>
      <w:bookmarkEnd w:id="1"/>
    </w:p>
    <w:tbl>
      <w:tblPr>
        <w:tblStyle w:val="TableGrid"/>
        <w:tblW w:w="5000" w:type="pct"/>
        <w:jc w:val="left"/>
        <w:tblInd w:w="0" w:type="dxa"/>
        <w:tblCellMar>
          <w:top w:w="0" w:type="dxa"/>
          <w:left w:w="108" w:type="dxa"/>
          <w:bottom w:w="0" w:type="dxa"/>
          <w:right w:w="108" w:type="dxa"/>
        </w:tblCellMar>
        <w:tblLook w:noVBand="1" w:val="04a0" w:noHBand="0" w:lastColumn="0" w:firstColumn="1" w:lastRow="0" w:firstRow="1"/>
      </w:tblPr>
      <w:tblGrid>
        <w:gridCol w:w="5852"/>
        <w:gridCol w:w="1754"/>
        <w:gridCol w:w="1754"/>
      </w:tblGrid>
      <w:tr>
        <w:trPr/>
        <w:tc>
          <w:tcPr>
            <w:tcW w:w="5852" w:type="dxa"/>
            <w:tcBorders/>
            <w:shd w:color="auto" w:fill="8EAADB" w:themeFill="accent5" w:themeFillTint="99" w:val="clear"/>
          </w:tcPr>
          <w:p>
            <w:pPr>
              <w:pStyle w:val="Normal"/>
              <w:spacing w:lineRule="auto" w:line="240" w:before="240" w:after="0"/>
              <w:jc w:val="both"/>
              <w:rPr>
                <w:rFonts w:ascii="Arial" w:hAnsi="Arial" w:cs="Arial"/>
                <w:b/>
                <w:b/>
                <w:sz w:val="20"/>
                <w:szCs w:val="20"/>
              </w:rPr>
            </w:pPr>
            <w:r>
              <w:rPr>
                <w:rFonts w:cs="Arial" w:ascii="Arial" w:hAnsi="Arial"/>
                <w:b/>
                <w:sz w:val="20"/>
                <w:szCs w:val="20"/>
              </w:rPr>
              <w:t>Procedures performed</w:t>
            </w:r>
          </w:p>
        </w:tc>
        <w:tc>
          <w:tcPr>
            <w:tcW w:w="1754" w:type="dxa"/>
            <w:tcBorders/>
            <w:shd w:color="auto" w:fill="8EAADB" w:themeFill="accent5" w:themeFillTint="99" w:val="clear"/>
          </w:tcPr>
          <w:p>
            <w:pPr>
              <w:pStyle w:val="Normal"/>
              <w:spacing w:lineRule="auto" w:line="240" w:before="240" w:after="0"/>
              <w:jc w:val="both"/>
              <w:rPr>
                <w:rFonts w:ascii="Arial" w:hAnsi="Arial" w:cs="Arial"/>
                <w:b/>
                <w:b/>
                <w:sz w:val="20"/>
                <w:szCs w:val="20"/>
              </w:rPr>
            </w:pPr>
            <w:r>
              <w:rPr>
                <w:rFonts w:cs="Arial" w:ascii="Arial" w:hAnsi="Arial"/>
                <w:b/>
                <w:sz w:val="20"/>
                <w:szCs w:val="20"/>
              </w:rPr>
              <w:t>Links</w:t>
            </w:r>
          </w:p>
        </w:tc>
        <w:tc>
          <w:tcPr>
            <w:tcW w:w="1754" w:type="dxa"/>
            <w:tcBorders/>
            <w:shd w:color="auto" w:fill="8EAADB" w:themeFill="accent5" w:themeFillTint="99" w:val="clear"/>
          </w:tcPr>
          <w:p>
            <w:pPr>
              <w:pStyle w:val="Normal"/>
              <w:spacing w:lineRule="auto" w:line="240" w:before="240" w:after="0"/>
              <w:jc w:val="both"/>
              <w:rPr>
                <w:rFonts w:ascii="Arial" w:hAnsi="Arial" w:cs="Arial"/>
                <w:b/>
                <w:b/>
                <w:sz w:val="20"/>
                <w:szCs w:val="20"/>
              </w:rPr>
            </w:pPr>
            <w:r>
              <w:rPr>
                <w:rFonts w:cs="Arial" w:ascii="Arial" w:hAnsi="Arial"/>
                <w:b/>
                <w:sz w:val="20"/>
                <w:szCs w:val="20"/>
              </w:rPr>
              <w:t>Ref. no.</w:t>
            </w:r>
          </w:p>
        </w:tc>
      </w:tr>
      <w:tr>
        <w:trPr>
          <w:trHeight w:val="1267" w:hRule="atLeast"/>
        </w:trPr>
        <w:tc>
          <w:tcPr>
            <w:tcW w:w="5852" w:type="dxa"/>
            <w:vMerge w:val="restart"/>
            <w:tcBorders/>
            <w:shd w:fill="auto" w:val="clear"/>
          </w:tcPr>
          <w:p>
            <w:pPr>
              <w:pStyle w:val="ListParagraph"/>
              <w:numPr>
                <w:ilvl w:val="0"/>
                <w:numId w:val="1"/>
              </w:numPr>
              <w:spacing w:lineRule="auto" w:line="240" w:before="0" w:after="0"/>
              <w:contextualSpacing/>
              <w:jc w:val="both"/>
              <w:rPr>
                <w:rFonts w:ascii="Arial" w:hAnsi="Arial" w:cs="Arial"/>
                <w:sz w:val="20"/>
                <w:szCs w:val="20"/>
              </w:rPr>
            </w:pPr>
            <w:r>
              <w:rPr>
                <w:rFonts w:cs="Arial" w:ascii="Arial" w:hAnsi="Arial"/>
                <w:sz w:val="20"/>
                <w:szCs w:val="20"/>
              </w:rPr>
              <w:t>As part of the risk assessment procedures and related activities performed during the understanding phase, the engagement team performed risk assessment procedures and related activities to determine whether events or conditions exist that may cast significant doubt on the entity’s ability to continue as a going concern. In doing so, the engagement team determined whether management has performed a preliminary assessment of the entity’s ability to continue as a going concern, and:</w:t>
            </w:r>
          </w:p>
          <w:p>
            <w:pPr>
              <w:pStyle w:val="ListParagraph"/>
              <w:numPr>
                <w:ilvl w:val="1"/>
                <w:numId w:val="1"/>
              </w:numPr>
              <w:spacing w:lineRule="auto" w:line="240" w:before="0" w:after="0"/>
              <w:ind w:left="697" w:hanging="360"/>
              <w:contextualSpacing/>
              <w:jc w:val="both"/>
              <w:rPr>
                <w:rFonts w:ascii="Arial" w:hAnsi="Arial" w:cs="Arial"/>
                <w:sz w:val="20"/>
                <w:szCs w:val="20"/>
              </w:rPr>
            </w:pPr>
            <w:r>
              <w:rPr>
                <w:rFonts w:cs="Arial" w:ascii="Arial" w:hAnsi="Arial"/>
                <w:sz w:val="20"/>
                <w:szCs w:val="20"/>
              </w:rPr>
              <w:t xml:space="preserve">If such an assessment had been performed, the engagement team discussed the assessment with management and determined whether management has identified events or conditions that, individually or collectively, may cast significant doubt on the entity’s ability to continue as a going concern and, if so, management’s plans to address them; or </w:t>
            </w:r>
          </w:p>
          <w:p>
            <w:pPr>
              <w:pStyle w:val="ListParagraph"/>
              <w:numPr>
                <w:ilvl w:val="1"/>
                <w:numId w:val="1"/>
              </w:numPr>
              <w:spacing w:lineRule="auto" w:line="240" w:before="0" w:after="0"/>
              <w:ind w:left="697" w:hanging="360"/>
              <w:contextualSpacing/>
              <w:jc w:val="both"/>
              <w:rPr>
                <w:rFonts w:ascii="Arial" w:hAnsi="Arial" w:cs="Arial"/>
                <w:sz w:val="20"/>
                <w:szCs w:val="20"/>
              </w:rPr>
            </w:pPr>
            <w:r>
              <w:rPr>
                <w:rFonts w:cs="Arial" w:ascii="Arial" w:hAnsi="Arial"/>
                <w:sz w:val="20"/>
                <w:szCs w:val="20"/>
              </w:rPr>
              <w:t>If such an assessment had not been performed, the engagement team discussed with management the basis for the intended use of the going concern basis of accounting, and inquired of management whether events or conditions exist that, individually or collectively, may cast significant doubt on the entity’s ability to continue as a going concern.</w:t>
            </w:r>
          </w:p>
        </w:tc>
        <w:tc>
          <w:tcPr>
            <w:tcW w:w="1754" w:type="dxa"/>
            <w:vMerge w:val="restart"/>
            <w:tcBorders/>
            <w:shd w:fill="auto" w:val="clear"/>
          </w:tcPr>
          <w:p>
            <w:pPr>
              <w:pStyle w:val="Normal"/>
              <w:spacing w:lineRule="auto" w:line="240" w:before="0" w:after="0"/>
              <w:jc w:val="both"/>
              <w:rPr/>
            </w:pPr>
            <w:hyperlink r:id="rId2">
              <w:r>
                <w:rPr>
                  <w:rStyle w:val="InternetLink"/>
                  <w:rFonts w:cs="Arial" w:ascii="Arial" w:hAnsi="Arial"/>
                  <w:b/>
                  <w:sz w:val="20"/>
                  <w:szCs w:val="20"/>
                </w:rPr>
                <w:t>Going Concern Assessment.docx</w:t>
              </w:r>
            </w:hyperlink>
          </w:p>
          <w:p>
            <w:pPr>
              <w:pStyle w:val="Normal"/>
              <w:spacing w:lineRule="auto" w:line="240" w:before="0" w:after="0"/>
              <w:jc w:val="both"/>
              <w:rPr>
                <w:rFonts w:ascii="Arial" w:hAnsi="Arial" w:cs="Arial"/>
                <w:sz w:val="20"/>
                <w:szCs w:val="20"/>
              </w:rPr>
            </w:pPr>
            <w:r>
              <w:rPr>
                <w:rFonts w:cs="Arial" w:ascii="Arial" w:hAnsi="Arial"/>
                <w:sz w:val="20"/>
                <w:szCs w:val="20"/>
              </w:rPr>
            </w:r>
          </w:p>
        </w:tc>
        <w:tc>
          <w:tcPr>
            <w:tcW w:w="1754" w:type="dxa"/>
            <w:tcBorders>
              <w:bottom w:val="nil"/>
              <w:insideH w:val="nil"/>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c>
          <w:tcPr>
            <w:tcW w:w="5852" w:type="dxa"/>
            <w:vMerge w:val="continue"/>
            <w:tcBorders/>
            <w:shd w:fill="auto" w:val="clear"/>
          </w:tcPr>
          <w:p>
            <w:pPr>
              <w:pStyle w:val="ListParagraph"/>
              <w:numPr>
                <w:ilvl w:val="1"/>
                <w:numId w:val="1"/>
              </w:numPr>
              <w:spacing w:lineRule="auto" w:line="240" w:before="0" w:after="0"/>
              <w:contextualSpacing/>
              <w:jc w:val="both"/>
              <w:rPr>
                <w:rFonts w:ascii="Arial" w:hAnsi="Arial" w:cs="Arial"/>
                <w:sz w:val="20"/>
                <w:szCs w:val="20"/>
              </w:rPr>
            </w:pPr>
            <w:r>
              <w:rPr>
                <w:rFonts w:cs="Arial" w:ascii="Arial" w:hAnsi="Arial"/>
                <w:sz w:val="20"/>
                <w:szCs w:val="20"/>
              </w:rPr>
            </w:r>
          </w:p>
        </w:tc>
        <w:tc>
          <w:tcPr>
            <w:tcW w:w="1754" w:type="dxa"/>
            <w:vMerge w:val="continue"/>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1754" w:type="dxa"/>
            <w:tcBorders>
              <w:top w:val="nil"/>
            </w:tcBorders>
            <w:shd w:fill="auto" w:val="clear"/>
          </w:tcPr>
          <w:p>
            <w:pPr>
              <w:pStyle w:val="Normal"/>
              <w:spacing w:lineRule="auto" w:line="240" w:before="0" w:after="0"/>
              <w:ind w:left="720" w:hanging="0"/>
              <w:jc w:val="both"/>
              <w:rPr>
                <w:rFonts w:ascii="Arial" w:hAnsi="Arial" w:cs="Arial"/>
                <w:sz w:val="20"/>
                <w:szCs w:val="20"/>
              </w:rPr>
            </w:pPr>
            <w:r>
              <w:rPr>
                <w:rFonts w:cs="Arial" w:ascii="Arial" w:hAnsi="Arial"/>
                <w:sz w:val="20"/>
                <w:szCs w:val="20"/>
              </w:rPr>
            </w:r>
          </w:p>
        </w:tc>
      </w:tr>
      <w:tr>
        <w:trPr/>
        <w:tc>
          <w:tcPr>
            <w:tcW w:w="5852" w:type="dxa"/>
            <w:tcBorders/>
            <w:shd w:fill="auto" w:val="clear"/>
          </w:tcPr>
          <w:p>
            <w:pPr>
              <w:pStyle w:val="ListParagraph"/>
              <w:numPr>
                <w:ilvl w:val="0"/>
                <w:numId w:val="1"/>
              </w:numPr>
              <w:spacing w:lineRule="auto" w:line="240" w:before="0" w:after="0"/>
              <w:contextualSpacing/>
              <w:jc w:val="both"/>
              <w:rPr>
                <w:rFonts w:ascii="Arial" w:hAnsi="Arial" w:cs="Arial"/>
                <w:sz w:val="20"/>
                <w:szCs w:val="20"/>
              </w:rPr>
            </w:pPr>
            <w:r>
              <w:rPr>
                <w:rFonts w:cs="Arial" w:ascii="Arial" w:hAnsi="Arial"/>
                <w:sz w:val="20"/>
                <w:szCs w:val="20"/>
              </w:rPr>
              <w:t>The engagement team recognized that it shall remain alert throughout the audit for audit evidence of events or conditions that may cast significant doubt on the entity’s ability to continue as a going concern.</w:t>
            </w:r>
          </w:p>
        </w:tc>
        <w:tc>
          <w:tcPr>
            <w:tcW w:w="1754" w:type="dxa"/>
            <w:tcBorders/>
            <w:shd w:fill="auto" w:val="clear"/>
          </w:tcPr>
          <w:p>
            <w:pPr>
              <w:pStyle w:val="Normal"/>
              <w:spacing w:lineRule="auto" w:line="240" w:before="0" w:after="0"/>
              <w:jc w:val="both"/>
              <w:rPr/>
            </w:pPr>
            <w:hyperlink r:id="rId3">
              <w:r>
                <w:rPr>
                  <w:rStyle w:val="InternetLink"/>
                  <w:rFonts w:cs="Arial" w:ascii="Arial" w:hAnsi="Arial"/>
                  <w:b/>
                  <w:sz w:val="20"/>
                  <w:szCs w:val="20"/>
                </w:rPr>
                <w:t>Going Concern Assessment.docx</w:t>
              </w:r>
            </w:hyperlink>
          </w:p>
          <w:p>
            <w:pPr>
              <w:pStyle w:val="Normal"/>
              <w:spacing w:lineRule="auto" w:line="240" w:before="0" w:after="0"/>
              <w:jc w:val="both"/>
              <w:rPr>
                <w:rStyle w:val="InternetLink"/>
                <w:rFonts w:ascii="Arial" w:hAnsi="Arial" w:cs="Arial"/>
                <w:b/>
                <w:b/>
                <w:sz w:val="20"/>
                <w:szCs w:val="20"/>
              </w:rPr>
            </w:pPr>
            <w:r>
              <w:rPr>
                <w:rFonts w:cs="Arial" w:ascii="Arial" w:hAnsi="Arial"/>
                <w:b/>
                <w:sz w:val="20"/>
                <w:szCs w:val="20"/>
              </w:rPr>
            </w:r>
          </w:p>
        </w:tc>
        <w:tc>
          <w:tcPr>
            <w:tcW w:w="1754"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c>
          <w:tcPr>
            <w:tcW w:w="5852" w:type="dxa"/>
            <w:tcBorders/>
            <w:shd w:fill="auto" w:val="clear"/>
          </w:tcPr>
          <w:p>
            <w:pPr>
              <w:pStyle w:val="ListParagraph"/>
              <w:numPr>
                <w:ilvl w:val="0"/>
                <w:numId w:val="1"/>
              </w:numPr>
              <w:spacing w:lineRule="auto" w:line="240" w:before="0" w:after="0"/>
              <w:contextualSpacing/>
              <w:jc w:val="both"/>
              <w:rPr>
                <w:rFonts w:ascii="Arial" w:hAnsi="Arial" w:cs="Arial"/>
                <w:sz w:val="20"/>
                <w:szCs w:val="20"/>
              </w:rPr>
            </w:pPr>
            <w:r>
              <w:rPr>
                <w:rFonts w:cs="Arial" w:ascii="Arial" w:hAnsi="Arial"/>
                <w:sz w:val="20"/>
                <w:szCs w:val="20"/>
              </w:rPr>
              <w:t xml:space="preserve">The engagement team evaluated management’s assessment of the entity’s ability to continue as a going concern and: </w:t>
            </w:r>
          </w:p>
          <w:p>
            <w:pPr>
              <w:pStyle w:val="ListParagraph"/>
              <w:numPr>
                <w:ilvl w:val="1"/>
                <w:numId w:val="1"/>
              </w:numPr>
              <w:spacing w:lineRule="auto" w:line="240" w:before="0" w:after="0"/>
              <w:ind w:left="697" w:hanging="360"/>
              <w:contextualSpacing/>
              <w:jc w:val="both"/>
              <w:rPr>
                <w:rFonts w:ascii="Arial" w:hAnsi="Arial" w:cs="Arial"/>
                <w:sz w:val="20"/>
                <w:szCs w:val="20"/>
              </w:rPr>
            </w:pPr>
            <w:r>
              <w:rPr>
                <w:rFonts w:cs="Arial" w:ascii="Arial" w:hAnsi="Arial"/>
                <w:sz w:val="20"/>
                <w:szCs w:val="20"/>
              </w:rPr>
              <w:t>Covered the same period as that used by management to make its assessment as required by the applicable financial reporting framework, or by law or regulation if it specified a longer period. If management’s assessment of the entity’s ability to continue as a going concern covered less than twelve months from the date of the financial statements the engagement team requested management to extend its assessment period to at least twelve months from that date.</w:t>
            </w:r>
          </w:p>
          <w:p>
            <w:pPr>
              <w:pStyle w:val="ListParagraph"/>
              <w:numPr>
                <w:ilvl w:val="1"/>
                <w:numId w:val="1"/>
              </w:numPr>
              <w:spacing w:lineRule="auto" w:line="240" w:before="0" w:after="0"/>
              <w:ind w:left="697" w:hanging="360"/>
              <w:contextualSpacing/>
              <w:jc w:val="both"/>
              <w:rPr>
                <w:rFonts w:ascii="Arial" w:hAnsi="Arial" w:cs="Arial"/>
                <w:sz w:val="20"/>
                <w:szCs w:val="20"/>
              </w:rPr>
            </w:pPr>
            <w:r>
              <w:rPr>
                <w:rFonts w:cs="Arial" w:ascii="Arial" w:hAnsi="Arial"/>
                <w:sz w:val="20"/>
                <w:szCs w:val="20"/>
              </w:rPr>
              <w:t>Considered whether management’s assessment includes all relevant information obtained by the engagement team during the audit.</w:t>
            </w:r>
          </w:p>
        </w:tc>
        <w:tc>
          <w:tcPr>
            <w:tcW w:w="1754" w:type="dxa"/>
            <w:tcBorders/>
            <w:shd w:fill="auto" w:val="clear"/>
          </w:tcPr>
          <w:p>
            <w:pPr>
              <w:pStyle w:val="Normal"/>
              <w:spacing w:lineRule="auto" w:line="240" w:before="0" w:after="0"/>
              <w:jc w:val="both"/>
              <w:rPr/>
            </w:pPr>
            <w:hyperlink r:id="rId4">
              <w:r>
                <w:rPr>
                  <w:rStyle w:val="InternetLink"/>
                  <w:rFonts w:cs="Arial" w:ascii="Arial" w:hAnsi="Arial"/>
                  <w:b/>
                  <w:sz w:val="20"/>
                  <w:szCs w:val="20"/>
                </w:rPr>
                <w:t>Going Concern Assessment.docx</w:t>
              </w:r>
            </w:hyperlink>
          </w:p>
          <w:p>
            <w:pPr>
              <w:pStyle w:val="Normal"/>
              <w:spacing w:lineRule="auto" w:line="240" w:before="0" w:after="0"/>
              <w:jc w:val="both"/>
              <w:rPr>
                <w:rFonts w:ascii="Arial" w:hAnsi="Arial" w:cs="Arial"/>
                <w:sz w:val="20"/>
                <w:szCs w:val="20"/>
              </w:rPr>
            </w:pPr>
            <w:r>
              <w:rPr>
                <w:rFonts w:cs="Arial" w:ascii="Arial" w:hAnsi="Arial"/>
                <w:sz w:val="20"/>
                <w:szCs w:val="20"/>
              </w:rPr>
            </w:r>
          </w:p>
        </w:tc>
        <w:tc>
          <w:tcPr>
            <w:tcW w:w="1754"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c>
          <w:tcPr>
            <w:tcW w:w="5852" w:type="dxa"/>
            <w:tcBorders/>
            <w:shd w:fill="auto" w:val="clear"/>
          </w:tcPr>
          <w:p>
            <w:pPr>
              <w:pStyle w:val="ListParagraph"/>
              <w:numPr>
                <w:ilvl w:val="0"/>
                <w:numId w:val="1"/>
              </w:numPr>
              <w:spacing w:lineRule="auto" w:line="240" w:before="0" w:after="0"/>
              <w:contextualSpacing/>
              <w:jc w:val="both"/>
              <w:rPr>
                <w:rFonts w:ascii="Arial" w:hAnsi="Arial" w:cs="Arial"/>
                <w:sz w:val="20"/>
                <w:szCs w:val="20"/>
              </w:rPr>
            </w:pPr>
            <w:r>
              <w:rPr>
                <w:rFonts w:cs="Arial" w:ascii="Arial" w:hAnsi="Arial"/>
                <w:sz w:val="20"/>
                <w:szCs w:val="20"/>
              </w:rPr>
              <w:t>The engagement team inquired of management as to its knowledge of events or conditions beyond the period of management’s assessment that may cast significant doubt on the entity’s ability to continue as a going concern.</w:t>
            </w:r>
          </w:p>
        </w:tc>
        <w:tc>
          <w:tcPr>
            <w:tcW w:w="1754" w:type="dxa"/>
            <w:tcBorders/>
            <w:shd w:fill="auto" w:val="clear"/>
          </w:tcPr>
          <w:p>
            <w:pPr>
              <w:pStyle w:val="Normal"/>
              <w:spacing w:lineRule="auto" w:line="240" w:before="0" w:after="0"/>
              <w:jc w:val="both"/>
              <w:rPr/>
            </w:pPr>
            <w:hyperlink r:id="rId5">
              <w:r>
                <w:rPr>
                  <w:rStyle w:val="InternetLink"/>
                  <w:rFonts w:cs="Arial" w:ascii="Arial" w:hAnsi="Arial"/>
                  <w:b/>
                  <w:sz w:val="20"/>
                  <w:szCs w:val="20"/>
                </w:rPr>
                <w:t>Going Concern Assessment.docx</w:t>
              </w:r>
            </w:hyperlink>
          </w:p>
          <w:p>
            <w:pPr>
              <w:pStyle w:val="Normal"/>
              <w:spacing w:lineRule="auto" w:line="240" w:before="0" w:after="0"/>
              <w:jc w:val="both"/>
              <w:rPr>
                <w:rFonts w:ascii="Arial" w:hAnsi="Arial" w:cs="Arial"/>
                <w:sz w:val="20"/>
                <w:szCs w:val="20"/>
              </w:rPr>
            </w:pPr>
            <w:r>
              <w:rPr>
                <w:rFonts w:cs="Arial" w:ascii="Arial" w:hAnsi="Arial"/>
                <w:sz w:val="20"/>
                <w:szCs w:val="20"/>
              </w:rPr>
            </w:r>
          </w:p>
        </w:tc>
        <w:tc>
          <w:tcPr>
            <w:tcW w:w="1754"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c>
          <w:tcPr>
            <w:tcW w:w="5852" w:type="dxa"/>
            <w:tcBorders/>
            <w:shd w:fill="auto" w:val="clear"/>
          </w:tcPr>
          <w:p>
            <w:pPr>
              <w:pStyle w:val="ListParagraph"/>
              <w:numPr>
                <w:ilvl w:val="0"/>
                <w:numId w:val="1"/>
              </w:numPr>
              <w:spacing w:lineRule="auto" w:line="240" w:before="0" w:after="0"/>
              <w:contextualSpacing/>
              <w:jc w:val="both"/>
              <w:rPr>
                <w:rFonts w:ascii="Arial" w:hAnsi="Arial" w:cs="Arial"/>
                <w:sz w:val="20"/>
                <w:szCs w:val="20"/>
              </w:rPr>
            </w:pPr>
            <w:r>
              <w:rPr>
                <w:rFonts w:cs="Arial" w:ascii="Arial" w:hAnsi="Arial"/>
                <w:sz w:val="20"/>
                <w:szCs w:val="20"/>
              </w:rPr>
              <w:t xml:space="preserve">The engagement team included in the audit documentation its consideration of events or conditions that may cast significant doubt on the entity’s ability to continue as going concern and evaluation of management’s assessment of the entity’s ability to continue as going concern. The engagement team also documented any risks identified and assessed. </w:t>
            </w:r>
          </w:p>
        </w:tc>
        <w:tc>
          <w:tcPr>
            <w:tcW w:w="1754" w:type="dxa"/>
            <w:tcBorders/>
            <w:shd w:fill="auto" w:val="clear"/>
          </w:tcPr>
          <w:p>
            <w:pPr>
              <w:pStyle w:val="Normal"/>
              <w:spacing w:lineRule="auto" w:line="240" w:before="0" w:after="0"/>
              <w:jc w:val="both"/>
              <w:rPr/>
            </w:pPr>
            <w:hyperlink r:id="rId6">
              <w:r>
                <w:rPr>
                  <w:rStyle w:val="InternetLink"/>
                  <w:rFonts w:cs="Arial" w:ascii="Arial" w:hAnsi="Arial"/>
                  <w:b/>
                  <w:sz w:val="20"/>
                  <w:szCs w:val="20"/>
                </w:rPr>
                <w:t>Going Concern Assessment.docx</w:t>
              </w:r>
            </w:hyperlink>
          </w:p>
          <w:p>
            <w:pPr>
              <w:pStyle w:val="Normal"/>
              <w:spacing w:lineRule="auto" w:line="240" w:before="0" w:after="0"/>
              <w:jc w:val="both"/>
              <w:rPr>
                <w:rStyle w:val="InternetLink"/>
                <w:rFonts w:ascii="Arial" w:hAnsi="Arial" w:cs="Arial"/>
                <w:b/>
                <w:b/>
                <w:sz w:val="20"/>
                <w:szCs w:val="20"/>
              </w:rPr>
            </w:pPr>
            <w:r>
              <w:rPr>
                <w:rFonts w:cs="Arial" w:ascii="Arial" w:hAnsi="Arial"/>
                <w:b/>
                <w:sz w:val="20"/>
                <w:szCs w:val="20"/>
              </w:rPr>
            </w:r>
          </w:p>
          <w:p>
            <w:pPr>
              <w:pStyle w:val="Normal"/>
              <w:spacing w:lineRule="auto" w:line="240" w:before="0" w:after="0"/>
              <w:jc w:val="both"/>
              <w:rPr/>
            </w:pPr>
            <w:hyperlink r:id="rId7">
              <w:r>
                <w:rPr>
                  <w:rStyle w:val="InternetLink"/>
                  <w:rFonts w:cs="Arial" w:ascii="Arial" w:hAnsi="Arial"/>
                  <w:b/>
                  <w:sz w:val="20"/>
                  <w:szCs w:val="20"/>
                </w:rPr>
                <w:t>Risk Assessment Document.docx</w:t>
              </w:r>
            </w:hyperlink>
          </w:p>
        </w:tc>
        <w:tc>
          <w:tcPr>
            <w:tcW w:w="1754"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bl>
    <w:p>
      <w:pPr>
        <w:pStyle w:val="Normal"/>
        <w:spacing w:lineRule="auto" w:line="240" w:before="0" w:after="160"/>
        <w:jc w:val="both"/>
        <w:rPr/>
      </w:pPr>
      <w:r>
        <w:rPr/>
      </w:r>
    </w:p>
    <w:sectPr>
      <w:headerReference w:type="default" r:id="rId8"/>
      <w:footerReference w:type="default" r:id="rId9"/>
      <w:type w:val="nextPage"/>
      <w:pgSz w:w="12240" w:h="15840"/>
      <w:pgMar w:left="1440" w:right="1440" w:header="720" w:top="1440" w:footer="72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Liberation Sans">
    <w:altName w:val="Arial"/>
    <w:charset w:val="01"/>
    <w:family w:val="swiss"/>
    <w:pitch w:val="variable"/>
  </w:font>
  <w:font w:name="Times New Roman">
    <w:charset w:val="01"/>
    <w:family w:val="auto"/>
    <w:pitch w:val="default"/>
  </w:font>
  <w:font w:name="Wingdings">
    <w:charset w:val="02"/>
    <w:family w:val="auto"/>
    <w:pitch w:val="default"/>
  </w:font>
  <w:font w:name="Symbol">
    <w:charset w:val="02"/>
    <w:family w:val="auto"/>
    <w:pitch w:val="default"/>
  </w:font>
  <w:font w:name="Courier New">
    <w:charset w:val="01"/>
    <w:family w:val="auto"/>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93859776"/>
    </w:sdtPr>
    <w:sdtContent>
      <w:p>
        <w:pPr>
          <w:pStyle w:val="Footer"/>
          <w:jc w:val="center"/>
          <w:rPr/>
        </w:pPr>
        <w:r>
          <w:rPr>
            <w:rFonts w:cs="Arial" w:ascii="Arial" w:hAnsi="Arial"/>
            <w:sz w:val="24"/>
            <w:szCs w:val="24"/>
          </w:rPr>
          <w:fldChar w:fldCharType="begin"/>
        </w:r>
        <w:r>
          <w:rPr>
            <w:sz w:val="24"/>
            <w:szCs w:val="24"/>
            <w:rFonts w:cs="Arial" w:ascii="Arial" w:hAnsi="Arial"/>
          </w:rPr>
          <w:instrText> PAGE </w:instrText>
        </w:r>
        <w:r>
          <w:rPr>
            <w:sz w:val="24"/>
            <w:szCs w:val="24"/>
            <w:rFonts w:cs="Arial" w:ascii="Arial" w:hAnsi="Arial"/>
          </w:rPr>
          <w:fldChar w:fldCharType="separate"/>
        </w:r>
        <w:r>
          <w:rPr>
            <w:sz w:val="24"/>
            <w:szCs w:val="24"/>
            <w:rFonts w:cs="Arial" w:ascii="Arial" w:hAnsi="Arial"/>
          </w:rPr>
          <w:t>2</w:t>
        </w:r>
        <w:r>
          <w:rPr>
            <w:sz w:val="24"/>
            <w:szCs w:val="24"/>
            <w:rFonts w:cs="Arial" w:ascii="Arial" w:hAnsi="Arial"/>
          </w:rP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mc:AlternateContent>
        <mc:Choice Requires="wpg">
          <w:drawing>
            <wp:anchor behindDoc="1" distT="0" distB="0" distL="114300" distR="114300" simplePos="0" locked="0" layoutInCell="1" allowOverlap="1" relativeHeight="3" wp14:anchorId="1699B376">
              <wp:simplePos x="0" y="0"/>
              <wp:positionH relativeFrom="margin">
                <wp:align>center</wp:align>
              </wp:positionH>
              <wp:positionV relativeFrom="paragraph">
                <wp:posOffset>-353695</wp:posOffset>
              </wp:positionV>
              <wp:extent cx="6529070" cy="705485"/>
              <wp:effectExtent l="0" t="0" r="5715" b="0"/>
              <wp:wrapNone/>
              <wp:docPr id="1" name="Group 5"/>
              <a:graphic xmlns:a="http://schemas.openxmlformats.org/drawingml/2006/main">
                <a:graphicData uri="http://schemas.microsoft.com/office/word/2010/wordprocessingGroup">
                  <wpg:wgp>
                    <wpg:cNvGrpSpPr/>
                    <wpg:grpSpPr>
                      <a:xfrm>
                        <a:off x="0" y="0"/>
                        <a:ext cx="6528600" cy="704880"/>
                      </a:xfrm>
                    </wpg:grpSpPr>
                    <wps:wsp>
                      <wps:cNvSpPr/>
                      <wps:spPr>
                        <a:xfrm>
                          <a:off x="0" y="0"/>
                          <a:ext cx="3769920" cy="704880"/>
                        </a:xfrm>
                        <a:prstGeom prst="rect">
                          <a:avLst/>
                        </a:prstGeom>
                        <a:solidFill>
                          <a:srgbClr val="ffffff"/>
                        </a:solidFill>
                        <a:ln w="9360">
                          <a:noFill/>
                        </a:ln>
                      </wps:spPr>
                      <wps:style>
                        <a:lnRef idx="0"/>
                        <a:fillRef idx="0"/>
                        <a:effectRef idx="0"/>
                        <a:fontRef idx="minor"/>
                      </wps:style>
                      <wps:txbx>
                        <w:txbxContent>
                          <w:p>
                            <w:pPr>
                              <w:overflowPunct w:val="false"/>
                              <w:spacing w:before="0" w:after="0" w:lineRule="auto" w:line="240"/>
                              <w:jc w:val="left"/>
                              <w:rPr/>
                            </w:pPr>
                            <w:r>
                              <w:rPr>
                                <w:sz w:val="28"/>
                                <w:b/>
                                <w:u w:val="none"/>
                                <w:dstrike w:val="false"/>
                                <w:strike w:val="false"/>
                                <w:i w:val="false"/>
                                <w:vertAlign w:val="baseline"/>
                                <w:position w:val="0"/>
                                <w:spacing w:val="0"/>
                                <w:szCs w:val="28"/>
                                <w:bCs/>
                                <w:iCs w:val="false"/>
                                <w:smallCaps w:val="false"/>
                                <w:caps w:val="false"/>
                                <w:rFonts w:ascii="Times New Roman" w:hAnsi="Times New Roman"/>
                              </w:rPr>
                              <w:t>Muniff Ziauddin &amp; Co.</w:t>
                            </w:r>
                          </w:p>
                          <w:p>
                            <w:pPr>
                              <w:overflowPunct w:val="false"/>
                              <w:spacing w:before="0" w:after="0" w:lineRule="auto" w:line="240"/>
                              <w:jc w:val="left"/>
                              <w:rPr/>
                            </w:pPr>
                            <w:r>
                              <w:rPr>
                                <w:sz w:val="22"/>
                                <w:b/>
                                <w:u w:val="none"/>
                                <w:dstrike w:val="false"/>
                                <w:strike w:val="false"/>
                                <w:i w:val="false"/>
                                <w:vertAlign w:val="baseline"/>
                                <w:position w:val="0"/>
                                <w:spacing w:val="0"/>
                                <w:szCs w:val="22"/>
                                <w:bCs/>
                                <w:iCs w:val="false"/>
                                <w:smallCaps w:val="false"/>
                                <w:caps w:val="false"/>
                                <w:rFonts w:ascii="Times New Roman" w:hAnsi="Times New Roman"/>
                              </w:rPr>
                              <w:t>Chartered Accountants</w:t>
                            </w:r>
                          </w:p>
                          <w:p>
                            <w:pPr>
                              <w:overflowPunct w:val="false"/>
                              <w:spacing w:before="0" w:after="0" w:lineRule="auto" w:line="240"/>
                              <w:jc w:val="left"/>
                              <w:rPr/>
                            </w:pPr>
                            <w:r>
                              <w:rPr>
                                <w:sz w:val="18"/>
                                <w:b/>
                                <w:u w:val="none"/>
                                <w:dstrike w:val="false"/>
                                <w:strike w:val="false"/>
                                <w:i w:val="false"/>
                                <w:vertAlign w:val="baseline"/>
                                <w:position w:val="0"/>
                                <w:spacing w:val="0"/>
                                <w:szCs w:val="18"/>
                                <w:bCs/>
                                <w:iCs w:val="false"/>
                                <w:smallCaps w:val="false"/>
                                <w:caps w:val="false"/>
                                <w:rFonts w:ascii="Times New Roman" w:hAnsi="Times New Roman"/>
                              </w:rPr>
                              <w:t>An independent member firm of BKR International</w:t>
                            </w:r>
                          </w:p>
                          <w:p>
                            <w:pPr>
                              <w:overflowPunct w:val="false"/>
                              <w:spacing w:before="0" w:after="0" w:lineRule="auto" w:line="240"/>
                              <w:jc w:val="left"/>
                              <w:rPr/>
                            </w:pPr>
                            <w:r>
                              <w:rPr/>
                            </w:r>
                          </w:p>
                        </w:txbxContent>
                      </wps:txbx>
                      <wps:bodyPr anchor="ctr">
                        <a:noAutofit/>
                      </wps:bodyPr>
                    </wps:wsp>
                    <pic:pic xmlns:pic="http://schemas.openxmlformats.org/drawingml/2006/picture">
                      <pic:nvPicPr>
                        <pic:cNvPr id="0" name="Picture 3" descr=""/>
                        <pic:cNvPicPr/>
                      </pic:nvPicPr>
                      <pic:blipFill>
                        <a:blip r:embed="rId1"/>
                        <a:srcRect l="5759" t="28463" r="5649" b="28450"/>
                        <a:stretch/>
                      </pic:blipFill>
                      <pic:spPr>
                        <a:xfrm>
                          <a:off x="5477400" y="71280"/>
                          <a:ext cx="1050840" cy="518760"/>
                        </a:xfrm>
                        <a:prstGeom prst="rect">
                          <a:avLst/>
                        </a:prstGeom>
                        <a:ln>
                          <a:noFill/>
                        </a:ln>
                      </pic:spPr>
                    </pic:pic>
                  </wpg:wgp>
                </a:graphicData>
              </a:graphic>
            </wp:anchor>
          </w:drawing>
        </mc:Choice>
        <mc:Fallback>
          <w:pict>
            <v:group id="shape_0" alt="Group 5" style="position:absolute;margin-left:-23.05pt;margin-top:-27.85pt;width:514.05pt;height:55.5pt" coordorigin="-461,-557" coordsize="10281,1110">
              <v:rect id="shape_0" ID="Text Box 2" fillcolor="white" stroked="f" style="position:absolute;left:-461;top:-557;width:5936;height:1109;mso-position-horizontal:center;mso-position-horizontal-relative:margin">
                <v:textbox>
                  <w:txbxContent>
                    <w:p>
                      <w:pPr>
                        <w:overflowPunct w:val="false"/>
                        <w:spacing w:before="0" w:after="0" w:lineRule="auto" w:line="240"/>
                        <w:jc w:val="left"/>
                        <w:rPr/>
                      </w:pPr>
                      <w:r>
                        <w:rPr>
                          <w:sz w:val="28"/>
                          <w:b/>
                          <w:u w:val="none"/>
                          <w:dstrike w:val="false"/>
                          <w:strike w:val="false"/>
                          <w:i w:val="false"/>
                          <w:vertAlign w:val="baseline"/>
                          <w:position w:val="0"/>
                          <w:spacing w:val="0"/>
                          <w:szCs w:val="28"/>
                          <w:bCs/>
                          <w:iCs w:val="false"/>
                          <w:smallCaps w:val="false"/>
                          <w:caps w:val="false"/>
                          <w:rFonts w:ascii="Times New Roman" w:hAnsi="Times New Roman"/>
                        </w:rPr>
                        <w:t>Muniff Ziauddin &amp; Co.</w:t>
                      </w:r>
                    </w:p>
                    <w:p>
                      <w:pPr>
                        <w:overflowPunct w:val="false"/>
                        <w:spacing w:before="0" w:after="0" w:lineRule="auto" w:line="240"/>
                        <w:jc w:val="left"/>
                        <w:rPr/>
                      </w:pPr>
                      <w:r>
                        <w:rPr>
                          <w:sz w:val="22"/>
                          <w:b/>
                          <w:u w:val="none"/>
                          <w:dstrike w:val="false"/>
                          <w:strike w:val="false"/>
                          <w:i w:val="false"/>
                          <w:vertAlign w:val="baseline"/>
                          <w:position w:val="0"/>
                          <w:spacing w:val="0"/>
                          <w:szCs w:val="22"/>
                          <w:bCs/>
                          <w:iCs w:val="false"/>
                          <w:smallCaps w:val="false"/>
                          <w:caps w:val="false"/>
                          <w:rFonts w:ascii="Times New Roman" w:hAnsi="Times New Roman"/>
                        </w:rPr>
                        <w:t>Chartered Accountants</w:t>
                      </w:r>
                    </w:p>
                    <w:p>
                      <w:pPr>
                        <w:overflowPunct w:val="false"/>
                        <w:spacing w:before="0" w:after="0" w:lineRule="auto" w:line="240"/>
                        <w:jc w:val="left"/>
                        <w:rPr/>
                      </w:pPr>
                      <w:r>
                        <w:rPr>
                          <w:sz w:val="18"/>
                          <w:b/>
                          <w:u w:val="none"/>
                          <w:dstrike w:val="false"/>
                          <w:strike w:val="false"/>
                          <w:i w:val="false"/>
                          <w:vertAlign w:val="baseline"/>
                          <w:position w:val="0"/>
                          <w:spacing w:val="0"/>
                          <w:szCs w:val="18"/>
                          <w:bCs/>
                          <w:iCs w:val="false"/>
                          <w:smallCaps w:val="false"/>
                          <w:caps w:val="false"/>
                          <w:rFonts w:ascii="Times New Roman" w:hAnsi="Times New Roman"/>
                        </w:rPr>
                        <w:t>An independent member firm of BKR International</w:t>
                      </w:r>
                    </w:p>
                    <w:p>
                      <w:pPr>
                        <w:overflowPunct w:val="false"/>
                        <w:spacing w:before="0" w:after="0" w:lineRule="auto" w:line="240"/>
                        <w:jc w:val="left"/>
                        <w:rPr/>
                      </w:pPr>
                      <w:r>
                        <w:rPr/>
                      </w:r>
                    </w:p>
                  </w:txbxContent>
                </v:textbox>
                <w10:wrap type="square"/>
                <v:fill o:detectmouseclick="t" type="solid" color2="black"/>
                <v:stroke color="#3465a4" weight="9360" joinstyle="miter" endcap="flat"/>
              </v:re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3" stroked="f" style="position:absolute;left:8165;top:-444;width:1654;height:816;mso-position-horizontal:center;mso-position-horizontal-relative:margin" type="shapetype_75">
                <v:imagedata r:id="rId1" o:detectmouseclick="t"/>
                <w10:wrap type="none"/>
                <v:stroke color="#3465a4" joinstyle="round" endcap="flat"/>
              </v:shape>
            </v:group>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lowerLetter"/>
      <w:lvlText w:val="%2)"/>
      <w:lvlJc w:val="left"/>
      <w:pPr>
        <w:ind w:left="720" w:hanging="360"/>
      </w:p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3956bb"/>
    <w:pPr>
      <w:widowControl/>
      <w:bidi w:val="0"/>
      <w:spacing w:lineRule="auto" w:line="254"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3956bb"/>
    <w:rPr>
      <w:color w:val="0563C1" w:themeColor="hyperlink"/>
      <w:u w:val="single"/>
    </w:rPr>
  </w:style>
  <w:style w:type="character" w:styleId="FollowedHyperlink">
    <w:name w:val="FollowedHyperlink"/>
    <w:basedOn w:val="DefaultParagraphFont"/>
    <w:uiPriority w:val="99"/>
    <w:semiHidden/>
    <w:unhideWhenUsed/>
    <w:qFormat/>
    <w:rsid w:val="004b53a4"/>
    <w:rPr>
      <w:color w:val="954F72" w:themeColor="followedHyperlink"/>
      <w:u w:val="single"/>
    </w:rPr>
  </w:style>
  <w:style w:type="character" w:styleId="HeaderChar" w:customStyle="1">
    <w:name w:val="Header Char"/>
    <w:basedOn w:val="DefaultParagraphFont"/>
    <w:link w:val="Header"/>
    <w:uiPriority w:val="99"/>
    <w:qFormat/>
    <w:rsid w:val="00f63b02"/>
    <w:rPr/>
  </w:style>
  <w:style w:type="character" w:styleId="FooterChar" w:customStyle="1">
    <w:name w:val="Footer Char"/>
    <w:basedOn w:val="DefaultParagraphFont"/>
    <w:link w:val="Footer"/>
    <w:uiPriority w:val="99"/>
    <w:qFormat/>
    <w:rsid w:val="00f63b02"/>
    <w:rPr/>
  </w:style>
  <w:style w:type="character" w:styleId="ListLabel1">
    <w:name w:val="ListLabel 1"/>
    <w:qFormat/>
    <w:rPr>
      <w:rFonts w:eastAsia="" w:cs=""/>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eastAsia="" w:cs=""/>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eastAsia="" w:cs=""/>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eastAsia="" w:cs=""/>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ascii="Arial" w:hAnsi="Arial" w:cs="Arial"/>
      <w:b/>
      <w:sz w:val="20"/>
      <w:szCs w:val="20"/>
    </w:rPr>
  </w:style>
  <w:style w:type="paragraph" w:styleId="Heading">
    <w:name w:val="Heading"/>
    <w:basedOn w:val="Normal"/>
    <w:next w:val="TextBody"/>
    <w:qFormat/>
    <w:pPr>
      <w:keepNext w:val="true"/>
      <w:spacing w:before="240" w:after="120"/>
    </w:pPr>
    <w:rPr>
      <w:rFonts w:ascii="Liberation Sans" w:hAnsi="Liberation Sans" w:eastAsia="WenQuanYi Micro Hei"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3956bb"/>
    <w:pPr>
      <w:spacing w:before="0" w:after="160"/>
      <w:ind w:left="720" w:hanging="0"/>
      <w:contextualSpacing/>
    </w:pPr>
    <w:rPr/>
  </w:style>
  <w:style w:type="paragraph" w:styleId="Default" w:customStyle="1">
    <w:name w:val="Default"/>
    <w:qFormat/>
    <w:rsid w:val="00564bce"/>
    <w:pPr>
      <w:widowControl/>
      <w:bidi w:val="0"/>
      <w:spacing w:lineRule="auto" w:line="240" w:before="0" w:after="0"/>
      <w:jc w:val="left"/>
    </w:pPr>
    <w:rPr>
      <w:rFonts w:ascii="Arial" w:hAnsi="Arial" w:cs="Arial" w:eastAsia="Calibri"/>
      <w:color w:val="000000"/>
      <w:kern w:val="0"/>
      <w:sz w:val="24"/>
      <w:szCs w:val="24"/>
      <w:lang w:val="en-US" w:eastAsia="en-US" w:bidi="ar-SA"/>
    </w:rPr>
  </w:style>
  <w:style w:type="paragraph" w:styleId="Header">
    <w:name w:val="Header"/>
    <w:basedOn w:val="Normal"/>
    <w:link w:val="HeaderChar"/>
    <w:uiPriority w:val="99"/>
    <w:unhideWhenUsed/>
    <w:rsid w:val="00f63b02"/>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f63b02"/>
    <w:pPr>
      <w:tabs>
        <w:tab w:val="clear" w:pos="720"/>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765ec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G:/My%20Drive/MZCO/Audit%20Manual/1.%20Planning/14%20Going%20Concern/Going%20Concern%20Assessment.docx" TargetMode="External"/><Relationship Id="rId3" Type="http://schemas.openxmlformats.org/officeDocument/2006/relationships/hyperlink" Target="../../../../../G:/My%20Drive/MZCO/Audit%20Manual/1.%20Planning/14%20Going%20Concern/Going%20Concern%20Assessment.docx" TargetMode="External"/><Relationship Id="rId4" Type="http://schemas.openxmlformats.org/officeDocument/2006/relationships/hyperlink" Target="../../../../../G:/My%20Drive/MZCO/Audit%20Manual/1.%20Planning/14%20Going%20Concern/Going%20Concern%20Assessment.docx" TargetMode="External"/><Relationship Id="rId5" Type="http://schemas.openxmlformats.org/officeDocument/2006/relationships/hyperlink" Target="../../../../../G:/My%20Drive/MZCO/Audit%20Manual/1.%20Planning/14%20Going%20Concern/Going%20Concern%20Assessment.docx" TargetMode="External"/><Relationship Id="rId6" Type="http://schemas.openxmlformats.org/officeDocument/2006/relationships/hyperlink" Target="../../../../../G:/My%20Drive/MZCO/Audit%20Manual/1.%20Planning/14%20Going%20Concern/Going%20Concern%20Assessment.docx" TargetMode="External"/><Relationship Id="rId7" Type="http://schemas.openxmlformats.org/officeDocument/2006/relationships/hyperlink" Target="../../../../../G:/My%20Drive/MZCO/Audit%20Manual/1.%20Planning/9%20Risk%20Assessment/Risk%20Assessment%20Document.docx" TargetMode="Externa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749</TotalTime>
  <Application>LibreOffice/6.1.5.2$Linux_X86_64 LibreOffice_project/10$Build-2</Application>
  <Pages>2</Pages>
  <Words>466</Words>
  <Characters>2610</Characters>
  <CharactersWithSpaces>3037</CharactersWithSpaces>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2022-06-26T09:17:00Z</dcterms:created>
  <dc:creator>Maham Moin</dc:creator>
  <dc:description/>
  <dc:language>en-US</dc:language>
  <cp:lastModifiedBy/>
  <dcterms:modified xsi:type="dcterms:W3CDTF">2022-09-12T15:18:33Z</dcterms:modified>
  <cp:revision>47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