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0" w:name="_GoBack"/>
      <w:bookmarkStart w:id="1" w:name="_GoBack"/>
      <w:bookmarkEnd w:id="1"/>
    </w:p>
    <w:p>
      <w:pPr>
        <w:pStyle w:val="Heading1"/>
        <w:spacing w:lineRule="auto" w:line="240" w:before="0" w:after="160"/>
        <w:jc w:val="both"/>
        <w:rPr>
          <w:rFonts w:ascii="Arial" w:hAnsi="Arial" w:cs="Arial"/>
          <w:b/>
          <w:b/>
          <w:color w:val="auto"/>
          <w:sz w:val="24"/>
          <w:szCs w:val="20"/>
        </w:rPr>
      </w:pPr>
      <w:r>
        <w:rPr>
          <w:rFonts w:cs="Arial" w:ascii="Arial" w:hAnsi="Arial"/>
          <w:b/>
          <w:color w:val="auto"/>
          <w:sz w:val="24"/>
          <w:szCs w:val="20"/>
        </w:rPr>
        <w:t>Guidance (click to expand):</w:t>
      </w:r>
    </w:p>
    <w:p>
      <w:pPr>
        <w:pStyle w:val="Normal"/>
        <w:spacing w:lineRule="auto" w:line="240" w:before="240" w:after="160"/>
        <w:jc w:val="both"/>
        <w:rPr>
          <w:rFonts w:ascii="Arial" w:hAnsi="Arial" w:cs="Arial"/>
          <w:sz w:val="20"/>
          <w:szCs w:val="20"/>
        </w:rPr>
      </w:pPr>
      <w:r>
        <w:rPr>
          <w:rFonts w:cs="Arial" w:ascii="Arial" w:hAnsi="Arial"/>
          <w:sz w:val="20"/>
          <w:szCs w:val="20"/>
        </w:rPr>
        <w:t>The purpose of this template is to document identification and assessment of the significance of any threat to the audit firm’s independence from the provision of accounting and tax compliance services; the safeguards to be applied; and the conclusions reached in this regard.</w:t>
      </w:r>
    </w:p>
    <w:p>
      <w:pPr>
        <w:pStyle w:val="Normal"/>
        <w:spacing w:lineRule="auto" w:line="240" w:before="240" w:after="160"/>
        <w:jc w:val="both"/>
        <w:rPr>
          <w:rFonts w:ascii="Arial" w:hAnsi="Arial" w:cs="Arial"/>
          <w:sz w:val="20"/>
          <w:szCs w:val="20"/>
        </w:rPr>
      </w:pPr>
      <w:r>
        <w:rPr>
          <w:rFonts w:cs="Arial" w:ascii="Arial" w:hAnsi="Arial"/>
          <w:sz w:val="20"/>
          <w:szCs w:val="20"/>
        </w:rPr>
        <w:t>The comments column shall specifically document evaluation of any threats identified; and the safeguards to be applied or rationale for no safeguards.</w:t>
      </w:r>
    </w:p>
    <w:p>
      <w:pPr>
        <w:pStyle w:val="Normal"/>
        <w:spacing w:lineRule="auto" w:line="240" w:before="240" w:after="160"/>
        <w:jc w:val="both"/>
        <w:rPr>
          <w:rFonts w:ascii="Arial" w:hAnsi="Arial" w:cs="Arial"/>
          <w:b/>
          <w:b/>
          <w:color w:val="000000" w:themeColor="text1"/>
          <w:sz w:val="20"/>
          <w:szCs w:val="20"/>
        </w:rPr>
      </w:pPr>
      <w:r>
        <w:rPr>
          <w:rFonts w:cs="Arial" w:ascii="Arial" w:hAnsi="Arial"/>
          <w:b/>
          <w:color w:val="000000" w:themeColor="text1"/>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000000" w:themeColor="text1"/>
          <w:sz w:val="24"/>
          <w:szCs w:val="20"/>
        </w:rPr>
        <w:t>Register of Non-Audit Services</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769"/>
        <w:gridCol w:w="764"/>
        <w:gridCol w:w="764"/>
        <w:gridCol w:w="763"/>
        <w:gridCol w:w="764"/>
        <w:gridCol w:w="764"/>
        <w:gridCol w:w="1"/>
        <w:gridCol w:w="2770"/>
      </w:tblGrid>
      <w:tr>
        <w:trPr>
          <w:trHeight w:val="543" w:hRule="atLeast"/>
        </w:trPr>
        <w:tc>
          <w:tcPr>
            <w:tcW w:w="2769" w:type="dxa"/>
            <w:tcBorders/>
            <w:shd w:color="auto" w:fill="8EAADB" w:themeFill="accent5" w:themeFillTint="99" w:val="clear"/>
            <w:vAlign w:val="center"/>
          </w:tcPr>
          <w:p>
            <w:pPr>
              <w:pStyle w:val="Normal"/>
              <w:spacing w:lineRule="auto" w:line="240" w:before="240" w:after="0"/>
              <w:rPr>
                <w:rFonts w:ascii="Arial" w:hAnsi="Arial" w:cs="Arial"/>
                <w:b/>
                <w:b/>
                <w:sz w:val="20"/>
                <w:szCs w:val="20"/>
              </w:rPr>
            </w:pPr>
            <w:r>
              <w:rPr>
                <w:rFonts w:cs="Arial" w:ascii="Arial" w:hAnsi="Arial"/>
                <w:b/>
                <w:sz w:val="20"/>
                <w:szCs w:val="20"/>
              </w:rPr>
              <w:t>Type of service</w:t>
            </w:r>
          </w:p>
        </w:tc>
        <w:tc>
          <w:tcPr>
            <w:tcW w:w="3820" w:type="dxa"/>
            <w:gridSpan w:val="6"/>
            <w:tcBorders/>
            <w:shd w:color="auto" w:fill="8EAADB" w:themeFill="accent5" w:themeFillTint="99" w:val="clear"/>
            <w:vAlign w:val="center"/>
          </w:tcPr>
          <w:p>
            <w:pPr>
              <w:pStyle w:val="Normal"/>
              <w:spacing w:lineRule="auto" w:line="240" w:before="240" w:after="0"/>
              <w:rPr>
                <w:rFonts w:ascii="Arial" w:hAnsi="Arial" w:cs="Arial"/>
                <w:b/>
                <w:b/>
                <w:sz w:val="20"/>
                <w:szCs w:val="20"/>
              </w:rPr>
            </w:pPr>
            <w:r>
              <w:rPr>
                <w:rFonts w:cs="Arial" w:ascii="Arial" w:hAnsi="Arial"/>
                <w:b/>
                <w:sz w:val="20"/>
                <w:szCs w:val="20"/>
              </w:rPr>
              <w:t xml:space="preserve">Threats ( </w:t>
            </w:r>
            <w:r>
              <w:rPr>
                <w:rFonts w:eastAsia="Wingdings" w:cs="Wingdings" w:ascii="Wingdings" w:hAnsi="Wingdings"/>
                <w:b/>
                <w:sz w:val="20"/>
                <w:szCs w:val="20"/>
              </w:rPr>
              <w:t></w:t>
            </w:r>
            <w:r>
              <w:rPr>
                <w:rFonts w:cs="Arial" w:ascii="Arial" w:hAnsi="Arial"/>
                <w:b/>
                <w:sz w:val="20"/>
                <w:szCs w:val="20"/>
              </w:rPr>
              <w:t xml:space="preserve"> those that apply)</w:t>
            </w:r>
          </w:p>
        </w:tc>
        <w:tc>
          <w:tcPr>
            <w:tcW w:w="2770" w:type="dxa"/>
            <w:tcBorders/>
            <w:shd w:color="auto" w:fill="8EAADB" w:themeFill="accent5" w:themeFillTint="99" w:val="clear"/>
            <w:vAlign w:val="center"/>
          </w:tcPr>
          <w:p>
            <w:pPr>
              <w:pStyle w:val="Normal"/>
              <w:spacing w:lineRule="auto" w:line="240" w:before="240" w:after="0"/>
              <w:rPr>
                <w:rFonts w:ascii="Arial" w:hAnsi="Arial" w:cs="Arial"/>
                <w:b/>
                <w:b/>
                <w:sz w:val="20"/>
                <w:szCs w:val="20"/>
              </w:rPr>
            </w:pPr>
            <w:r>
              <w:rPr>
                <w:rFonts w:cs="Arial" w:ascii="Arial" w:hAnsi="Arial"/>
                <w:b/>
                <w:sz w:val="20"/>
                <w:szCs w:val="20"/>
              </w:rPr>
              <w:t>Comments</w:t>
            </w:r>
          </w:p>
        </w:tc>
      </w:tr>
      <w:tr>
        <w:trPr>
          <w:trHeight w:val="279" w:hRule="atLeast"/>
        </w:trPr>
        <w:tc>
          <w:tcPr>
            <w:tcW w:w="2769" w:type="dxa"/>
            <w:tcBorders/>
            <w:shd w:color="auto" w:fill="D9E2F3" w:themeFill="accent5" w:themeFillTint="33"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SI</w:t>
            </w:r>
          </w:p>
        </w:tc>
        <w:tc>
          <w:tcPr>
            <w:tcW w:w="764"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SR</w:t>
            </w:r>
          </w:p>
        </w:tc>
        <w:tc>
          <w:tcPr>
            <w:tcW w:w="763"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A</w:t>
            </w:r>
          </w:p>
        </w:tc>
        <w:tc>
          <w:tcPr>
            <w:tcW w:w="764"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F</w:t>
            </w:r>
          </w:p>
        </w:tc>
        <w:tc>
          <w:tcPr>
            <w:tcW w:w="764" w:type="dxa"/>
            <w:tcBorders/>
            <w:shd w:color="auto" w:fill="D9E2F3" w:themeFill="accent5" w:themeFillTint="33" w:val="clear"/>
            <w:vAlign w:val="center"/>
          </w:tcPr>
          <w:p>
            <w:pPr>
              <w:pStyle w:val="Normal"/>
              <w:spacing w:lineRule="auto" w:line="240" w:before="0" w:after="0"/>
              <w:jc w:val="center"/>
              <w:rPr>
                <w:rFonts w:ascii="Arial" w:hAnsi="Arial" w:cs="Arial"/>
                <w:b/>
                <w:b/>
                <w:sz w:val="20"/>
                <w:szCs w:val="20"/>
              </w:rPr>
            </w:pPr>
            <w:r>
              <w:rPr>
                <w:rFonts w:cs="Arial" w:ascii="Arial" w:hAnsi="Arial"/>
                <w:b/>
                <w:sz w:val="20"/>
                <w:szCs w:val="20"/>
              </w:rPr>
              <w:t>I</w:t>
            </w:r>
          </w:p>
        </w:tc>
        <w:tc>
          <w:tcPr>
            <w:tcW w:w="2771" w:type="dxa"/>
            <w:gridSpan w:val="2"/>
            <w:tcBorders/>
            <w:shd w:color="auto" w:fill="D9E2F3" w:themeFill="accent5" w:themeFillTint="33"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79" w:hRule="atLeast"/>
        </w:trPr>
        <w:tc>
          <w:tcPr>
            <w:tcW w:w="276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Accounting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Tax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79" w:hRule="atLeast"/>
        </w:trPr>
        <w:tc>
          <w:tcPr>
            <w:tcW w:w="276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Internal Audit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IT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79" w:hRule="atLeast"/>
        </w:trPr>
        <w:tc>
          <w:tcPr>
            <w:tcW w:w="276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Valuation/Actuarial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Legal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Corporate Finance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276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Transaction Related Services</w:t>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76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2771" w:type="dxa"/>
            <w:gridSpan w:val="2"/>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64" w:hRule="atLeast"/>
        </w:trPr>
        <w:tc>
          <w:tcPr>
            <w:tcW w:w="9359" w:type="dxa"/>
            <w:gridSpan w:val="8"/>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t>Conclusion:</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There are no non-audit services provided to the client.</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There are no threats arising from any non-audit services provided to the client.</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The safeguards identified ensure that any non-audit services provided to the audit client do not jeopardize the firm’s objectivity and independence.</w:t>
            </w:r>
          </w:p>
        </w:tc>
      </w:tr>
    </w:tbl>
    <w:p>
      <w:pPr>
        <w:pStyle w:val="Normal"/>
        <w:spacing w:lineRule="auto" w:line="240" w:before="0" w:after="0"/>
        <w:jc w:val="both"/>
        <w:rPr/>
      </w:pPr>
      <w:r>
        <w:rPr>
          <w:rFonts w:cs="Arial" w:ascii="Arial" w:hAnsi="Arial"/>
          <w:sz w:val="20"/>
          <w:szCs w:val="20"/>
        </w:rPr>
        <w:t>*SI = self-interest; SR = self-review; A = advocacy; F = familiarity; I = intimidation</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69466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77369492">
              <wp:simplePos x="0" y="0"/>
              <wp:positionH relativeFrom="margin">
                <wp:align>center</wp:align>
              </wp:positionH>
              <wp:positionV relativeFrom="paragraph">
                <wp:posOffset>-361950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8.5pt;width:514.05pt;height:55.5pt" coordorigin="-461,-570" coordsize="10281,1110">
              <v:rect id="shape_0" ID="Text Box 2" fillcolor="white" stroked="f" style="position:absolute;left:-461;top:-570;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58;width:1654;height:816;mso-position-horizontal:center;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22e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d78b3"/>
    <w:rPr/>
  </w:style>
  <w:style w:type="character" w:styleId="FooterChar" w:customStyle="1">
    <w:name w:val="Footer Char"/>
    <w:basedOn w:val="DefaultParagraphFont"/>
    <w:link w:val="Footer"/>
    <w:uiPriority w:val="99"/>
    <w:qFormat/>
    <w:rsid w:val="00ed78b3"/>
    <w:rPr/>
  </w:style>
  <w:style w:type="character" w:styleId="Heading1Char" w:customStyle="1">
    <w:name w:val="Heading 1 Char"/>
    <w:basedOn w:val="DefaultParagraphFont"/>
    <w:link w:val="Heading1"/>
    <w:uiPriority w:val="9"/>
    <w:qFormat/>
    <w:rsid w:val="001122ee"/>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d78b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78b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2a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LibreOffice/6.1.5.2$Linux_X86_64 LibreOffice_project/10$Build-2</Application>
  <Pages>2</Pages>
  <Words>191</Words>
  <Characters>1069</Characters>
  <CharactersWithSpaces>1221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2022-06-23T12:28:00Z</dcterms:created>
  <dc:creator>Maham Moin</dc:creator>
  <dc:description/>
  <dc:language>en-US</dc:language>
  <cp:lastModifiedBy/>
  <dcterms:modified xsi:type="dcterms:W3CDTF">2022-09-12T15:27:07Z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