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*Related Parties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b/>
                <w:b/>
                <w:bCs/>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799"/>
        <w:gridCol w:w="1800"/>
      </w:tblGrid>
      <w:tr>
        <w:trPr/>
        <w:tc>
          <w:tcPr>
            <w:tcW w:w="5761" w:type="dxa"/>
            <w:tcBorders/>
            <w:shd w:color="auto" w:fill="8EAADB" w:themeFill="accent5" w:themeFillTint="99" w:val="clear"/>
          </w:tcPr>
          <w:p>
            <w:pPr>
              <w:pStyle w:val="ListParagraph"/>
              <w:spacing w:lineRule="auto" w:line="240" w:before="240" w:after="0"/>
              <w:ind w:left="360" w:hanging="0"/>
              <w:contextualSpacing/>
              <w:jc w:val="both"/>
              <w:rPr>
                <w:rFonts w:ascii="Arial" w:hAnsi="Arial" w:cs="Arial"/>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3830"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and the fraud risk assessment phase, the engagement team performed the risk assessment procedures and related activities, as mentioned below, to obtain and document accordingly, information relevant to identifying the risks of material misstatement associated with related-party relationships and transactions.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 an understanding of related party relationships and transactions by inquiring of management regarding: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identity of the entity’s related parties, including changes from the prior period;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 relationships between the entity and these related parties;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the entity entered into any transactions with these related parties during the period and, if so, the type and purpose of the transactions.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As a part of understanding and evaluating the entity’s system of internal controls, the engagement team obtained/updated an understanding of the controls, if any, that management has established to:</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Identify, account for, and disclose related party relationships and transactions in accordance with the applicable financial reporting framework;</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Authorize and approve significant transactions and arrangements with related parties;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Authorize and approve significant transactions and arrangements outside the normal course of business.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remain alert throughout the audit while inspecting records or documents, for arrangements or other information indicative of the existence of related party relationships or transactions that were not previously identified or disclosed to the engagement team. In particular, inspection of:</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Bank and legal confirmations obtained as part of the auditor’s procedures;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Minutes of meetings of shareholders and of those charged with governance;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Such other records or documents as considered necessary in the circumstances of the entity.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considered occurrence of any significant transactions outside the entity’s normal course of business when performing the aforementioned risk assessment procedures or other audit procedures, and if so, the engagement team inquired management about: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these transactions;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related parties could be involved.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Discussions among engagement team were held regarding the susceptibility of the financial statements to material misstatement due to fraud or error that could result from the entity’s related party relationships and transactions. The engagement team also shared relevant information obtained about the entity’s related parties amongst each other. Minutes of these discussions were documented.</w:t>
            </w:r>
          </w:p>
        </w:tc>
        <w:tc>
          <w:tcPr>
            <w:tcW w:w="1799"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List of Related Parties.docx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hyperlink r:id="rId3">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hyperlink r:id="rId4">
              <w:r>
                <w:rPr>
                  <w:rStyle w:val="InternetLink"/>
                  <w:rFonts w:cs="Arial" w:ascii="Arial" w:hAnsi="Arial"/>
                  <w:b/>
                  <w:sz w:val="20"/>
                  <w:szCs w:val="20"/>
                </w:rPr>
                <w:t>Kickoff Meeting Minutes.docx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vMerge w:val="continue"/>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identified and assessed the risks of material misstatement associated with related party relationships and transactions and determined whether any of those risks were significant risks. In making this determination, the engagement team treated identified significant related party transactions outside the entity’s normal course of business as significant risks. Any risks identified and assessed were documented accordingly.</w:t>
            </w:r>
          </w:p>
        </w:tc>
        <w:tc>
          <w:tcPr>
            <w:tcW w:w="1799" w:type="dxa"/>
            <w:tcBorders/>
            <w:shd w:fill="auto" w:val="clear"/>
          </w:tcPr>
          <w:p>
            <w:pPr>
              <w:pStyle w:val="Normal"/>
              <w:spacing w:lineRule="auto" w:line="240" w:before="0" w:after="0"/>
              <w:jc w:val="both"/>
              <w:rPr/>
            </w:pPr>
            <w:hyperlink r:id="rId5">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also considered the susceptibility of the financial statements to material misstatement due to fraud or error that could result from the entity's related party relationships and transactions (including circumstances relating to the existence of a related party with dominant influence), and if so, the engagement team considered such information when identifying and assessing the risks of material misstatement due to fraud. </w:t>
            </w:r>
          </w:p>
        </w:tc>
        <w:tc>
          <w:tcPr>
            <w:tcW w:w="1799" w:type="dxa"/>
            <w:tcBorders/>
            <w:shd w:fill="auto" w:val="clear"/>
          </w:tcPr>
          <w:p>
            <w:pPr>
              <w:pStyle w:val="Normal"/>
              <w:spacing w:lineRule="auto" w:line="240" w:before="0" w:after="0"/>
              <w:jc w:val="both"/>
              <w:rPr/>
            </w:pPr>
            <w:hyperlink r:id="rId6">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138614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7332c3"/>
    <w:rPr/>
  </w:style>
  <w:style w:type="character" w:styleId="FooterChar" w:customStyle="1">
    <w:name w:val="Footer Char"/>
    <w:basedOn w:val="DefaultParagraphFont"/>
    <w:link w:val="Footer"/>
    <w:uiPriority w:val="99"/>
    <w:qFormat/>
    <w:rsid w:val="007332c3"/>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7332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332c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b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Related%20Parties/List%20of%20Related%20Parties.docx" TargetMode="External"/><Relationship Id="rId3" Type="http://schemas.openxmlformats.org/officeDocument/2006/relationships/hyperlink" Target="../8%20Understand%20and%20Evaluate%20Internal%20Control/Internal%20Control%20Template.docx" TargetMode="External"/><Relationship Id="rId4" Type="http://schemas.openxmlformats.org/officeDocument/2006/relationships/hyperlink" Target="../../../../../G:/My%20Drive/MZCO/Audit%20Manual/1.%20Planning/4%20Planning%20Process/Kickoff%20Meeting%20Minutes.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9%20Risk%20Assessment/Risk%20Assessment%20Document.doc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2470-407B-43D7-9243-8802F287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Application>LibreOffice/6.1.5.2$Linux_X86_64 LibreOffice_project/10$Build-2</Application>
  <Pages>2</Pages>
  <Words>570</Words>
  <Characters>3476</Characters>
  <CharactersWithSpaces>3995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2022-09-12T15:27:48Z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