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*Audit Program – Cash and Bank Balances</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engagement team followed this audit program in the audit of cash and bank balances. Where applicable, the audit program was tailored and bespoke audit procedures were added.  </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8000"/>
        <w:gridCol w:w="1252"/>
        <w:gridCol w:w="1233"/>
        <w:gridCol w:w="1239"/>
        <w:gridCol w:w="1236"/>
      </w:tblGrid>
      <w:tr>
        <w:trPr>
          <w:trHeight w:val="20" w:hRule="atLeast"/>
        </w:trPr>
        <w:tc>
          <w:tcPr>
            <w:tcW w:w="8000" w:type="dxa"/>
            <w:vMerge w:val="restart"/>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Audit objectives</w:t>
            </w:r>
          </w:p>
        </w:tc>
        <w:tc>
          <w:tcPr>
            <w:tcW w:w="1252" w:type="dxa"/>
            <w:vMerge w:val="restart"/>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Assertions</w:t>
            </w:r>
          </w:p>
        </w:tc>
        <w:tc>
          <w:tcPr>
            <w:tcW w:w="3708" w:type="dxa"/>
            <w:gridSpan w:val="3"/>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Risk assessment</w:t>
            </w:r>
          </w:p>
        </w:tc>
      </w:tr>
      <w:tr>
        <w:trPr>
          <w:trHeight w:val="20" w:hRule="atLeast"/>
        </w:trPr>
        <w:tc>
          <w:tcPr>
            <w:tcW w:w="8000"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1252" w:type="dxa"/>
            <w:vMerge w:val="continue"/>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1233"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IR</w:t>
            </w:r>
          </w:p>
        </w:tc>
        <w:tc>
          <w:tcPr>
            <w:tcW w:w="1239"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w:t>
            </w:r>
          </w:p>
        </w:tc>
        <w:tc>
          <w:tcPr>
            <w:tcW w:w="1236"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CRA</w:t>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Cash and bank balances are completely and accurately recorded.</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CA</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recorded cash and bank balances actually exist.</w:t>
            </w:r>
          </w:p>
        </w:tc>
        <w:tc>
          <w:tcPr>
            <w:tcW w:w="1252" w:type="dxa"/>
            <w:tcBorders/>
            <w:shd w:fill="auto" w:val="clear"/>
          </w:tcPr>
          <w:p>
            <w:pPr>
              <w:pStyle w:val="TableParagraph"/>
              <w:spacing w:lineRule="exact" w:line="230" w:before="0" w:after="0"/>
              <w:jc w:val="center"/>
              <w:rPr>
                <w:rFonts w:ascii="Arial" w:hAnsi="Arial" w:cs="Arial"/>
                <w:sz w:val="20"/>
                <w:szCs w:val="20"/>
              </w:rPr>
            </w:pPr>
            <w:r>
              <w:rPr>
                <w:rFonts w:cs="Arial" w:ascii="Arial" w:hAnsi="Arial"/>
                <w:w w:val="99"/>
                <w:sz w:val="20"/>
                <w:szCs w:val="20"/>
              </w:rPr>
              <w:t>E</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Cash and bank balances recorded are owned by the client and title is also in the name of client.</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R</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Cash and bank balances are recorded at appropriate values.</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V</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Cash and bank balances are presented and all disclosures have been given in accordance with the Fourth/Fifth Schedules of the Companies Act, 2017 and relevant IAS/IFRS.</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OCALRVU</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color="auto" w:fill="8EAADB" w:themeFill="accent5" w:themeFillTint="99" w:val="clear"/>
          </w:tcPr>
          <w:p>
            <w:pPr>
              <w:pStyle w:val="Normal"/>
              <w:spacing w:lineRule="auto" w:line="240" w:before="240" w:after="0"/>
              <w:jc w:val="both"/>
              <w:rPr>
                <w:rStyle w:val="InternetLink"/>
                <w:rFonts w:ascii="Arial" w:hAnsi="Arial" w:cs="Arial"/>
                <w:b/>
                <w:b/>
                <w:sz w:val="20"/>
                <w:szCs w:val="20"/>
              </w:rPr>
            </w:pPr>
            <w:r>
              <w:rPr>
                <w:rFonts w:cs="Arial" w:ascii="Arial" w:hAnsi="Arial"/>
                <w:b/>
                <w:sz w:val="20"/>
                <w:szCs w:val="20"/>
              </w:rPr>
              <w:t>Audit procedures which satisfy audit objectives</w:t>
            </w:r>
          </w:p>
        </w:tc>
        <w:tc>
          <w:tcPr>
            <w:tcW w:w="2485"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2475"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Test of Controls </w:t>
            </w:r>
          </w:p>
        </w:tc>
      </w:tr>
      <w:tr>
        <w:trPr>
          <w:trHeight w:val="20" w:hRule="atLeast"/>
        </w:trPr>
        <w:tc>
          <w:tcPr>
            <w:tcW w:w="8000"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 xml:space="preserve">Document the key elements of understanding of the process, including activities in relation to: </w:t>
            </w:r>
          </w:p>
          <w:p>
            <w:pPr>
              <w:pStyle w:val="ListParagraph"/>
              <w:numPr>
                <w:ilvl w:val="0"/>
                <w:numId w:val="9"/>
              </w:numPr>
              <w:spacing w:lineRule="auto" w:line="240" w:beforeAutospacing="1" w:after="160"/>
              <w:jc w:val="both"/>
              <w:rPr>
                <w:rFonts w:ascii="Arial" w:hAnsi="Arial" w:cs="Arial"/>
                <w:sz w:val="20"/>
                <w:szCs w:val="20"/>
              </w:rPr>
            </w:pPr>
            <w:r>
              <w:rPr>
                <w:rFonts w:cs="Arial" w:ascii="Arial" w:hAnsi="Arial"/>
                <w:sz w:val="20"/>
                <w:szCs w:val="20"/>
              </w:rPr>
              <w:t xml:space="preserve">Initiation and authorization;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Recording and processing of relevant transaction(s) and relevant I.T. applications, if any; and</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Preparation of relevant disclosures.</w:t>
            </w:r>
          </w:p>
          <w:p>
            <w:pPr>
              <w:pStyle w:val="ListParagraph"/>
              <w:spacing w:lineRule="auto" w:line="240" w:beforeAutospacing="1" w:after="160"/>
              <w:jc w:val="both"/>
              <w:rPr>
                <w:rFonts w:ascii="Arial" w:hAnsi="Arial" w:cs="Arial"/>
                <w:sz w:val="20"/>
                <w:szCs w:val="20"/>
              </w:rPr>
            </w:pPr>
            <w:r>
              <w:rPr>
                <w:rFonts w:cs="Arial" w:ascii="Arial" w:hAnsi="Arial"/>
                <w:sz w:val="20"/>
                <w:szCs w:val="20"/>
              </w:rPr>
            </w:r>
          </w:p>
          <w:p>
            <w:pPr>
              <w:pStyle w:val="ListParagraph"/>
              <w:spacing w:lineRule="auto" w:line="240" w:beforeAutospacing="1" w:after="160"/>
              <w:ind w:left="360" w:hanging="0"/>
              <w:jc w:val="both"/>
              <w:rPr>
                <w:rFonts w:ascii="Arial" w:hAnsi="Arial" w:cs="Arial"/>
                <w:sz w:val="20"/>
                <w:szCs w:val="20"/>
              </w:rPr>
            </w:pPr>
            <w:r>
              <w:rPr>
                <w:rFonts w:cs="Arial" w:ascii="Arial" w:hAnsi="Arial"/>
                <w:sz w:val="20"/>
                <w:szCs w:val="20"/>
              </w:rPr>
              <w:t>Evaluate the design of system of internal control by enquiring relevant client personnel and documenting the same (if documented system manual has not been developed by the client). A walk through test would be necessary to confirm the understanding as documented. Identify the preventive (exercised before occurrence of transactions and event) and detective (exercised after occurrence of transactions and event) controls established by management to support its claims and determine whether they have been implemented.</w:t>
            </w:r>
          </w:p>
        </w:tc>
        <w:tc>
          <w:tcPr>
            <w:tcW w:w="2485" w:type="dxa"/>
            <w:gridSpan w:val="2"/>
            <w:tcBorders/>
            <w:shd w:fill="auto" w:val="clear"/>
          </w:tcPr>
          <w:p>
            <w:pPr>
              <w:pStyle w:val="TableParagraph"/>
              <w:spacing w:lineRule="exact" w:line="251"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sample of selected transactions covering the whole period that all preventive controls are exercised on all transactions.</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a sample of transactions that detective controls are exercised and in case of any detection of fraud/error, proper steps have been taken to avoid recurrence of the same.</w:t>
            </w:r>
          </w:p>
        </w:tc>
        <w:tc>
          <w:tcPr>
            <w:tcW w:w="2485"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proper subsidiary ledger/ cash book has been maintained and entries are made in the same on prompt and consistent basis and the same is reconciled with general ledger.</w:t>
            </w:r>
          </w:p>
        </w:tc>
        <w:tc>
          <w:tcPr>
            <w:tcW w:w="2485"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proper bank reconciliations are prepared, checked and approved. Long outstanding items are followed up and proper disposition of such items is made.</w:t>
            </w:r>
          </w:p>
        </w:tc>
        <w:tc>
          <w:tcPr>
            <w:tcW w:w="2485"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proper segregation of duties between custodian and</w:t>
              <w:tab/>
              <w:t>accounting and approving personnel exist.</w:t>
            </w:r>
          </w:p>
        </w:tc>
        <w:tc>
          <w:tcPr>
            <w:tcW w:w="2485" w:type="dxa"/>
            <w:gridSpan w:val="2"/>
            <w:tcBorders/>
            <w:shd w:fill="auto" w:val="clear"/>
          </w:tcPr>
          <w:p>
            <w:pPr>
              <w:pStyle w:val="TableParagraph"/>
              <w:spacing w:lineRule="auto" w:line="240"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payments vouchers are appropriately prepared and properly approved by designated authority.</w:t>
            </w:r>
          </w:p>
        </w:tc>
        <w:tc>
          <w:tcPr>
            <w:tcW w:w="2485" w:type="dxa"/>
            <w:gridSpan w:val="2"/>
            <w:tcBorders/>
            <w:shd w:fill="auto" w:val="clear"/>
          </w:tcPr>
          <w:p>
            <w:pPr>
              <w:pStyle w:val="TableParagraph"/>
              <w:spacing w:lineRule="auto" w:line="240"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Ensure that</w:t>
              <w:tab/>
              <w:t>management does not override the designed controls by:</w:t>
            </w:r>
          </w:p>
          <w:p>
            <w:pPr>
              <w:pStyle w:val="ListParagraph"/>
              <w:numPr>
                <w:ilvl w:val="0"/>
                <w:numId w:val="5"/>
              </w:numPr>
              <w:spacing w:lineRule="auto" w:line="240" w:beforeAutospacing="1" w:after="160"/>
              <w:jc w:val="both"/>
              <w:rPr>
                <w:rFonts w:ascii="Arial" w:hAnsi="Arial" w:cs="Arial"/>
                <w:sz w:val="20"/>
                <w:szCs w:val="20"/>
              </w:rPr>
            </w:pPr>
            <w:r>
              <w:rPr>
                <w:rFonts w:cs="Arial" w:ascii="Arial" w:hAnsi="Arial"/>
                <w:sz w:val="20"/>
                <w:szCs w:val="20"/>
              </w:rPr>
              <w:t>Enquiring from the designated staff person; and</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Remaining skeptical during performing test of design and test of effective operation.</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Ensure that reliance on the testing of controls at the interim stage or in earlier years is only relied upon where it is appropriate to do so.</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Document the conclusion after performing test of controls and required level of assurance from substantive procedures.</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Test of Details</w:t>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pPr>
            <w:r>
              <w:rPr>
                <w:rFonts w:cs="Arial" w:ascii="Arial" w:hAnsi="Arial"/>
                <w:sz w:val="20"/>
                <w:szCs w:val="20"/>
              </w:rPr>
              <w:t>Attend year end cash count and deposit verification.</w:t>
            </w:r>
          </w:p>
        </w:tc>
        <w:tc>
          <w:tcPr>
            <w:tcW w:w="2485"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Circularize direct confirmations to all banks. Compare responses to client’s records and ensure that all balances etc. reported by bank in response to bank confirmation request are included in records of the client.</w:t>
            </w:r>
          </w:p>
        </w:tc>
        <w:tc>
          <w:tcPr>
            <w:tcW w:w="2485"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Trace opening balances from general ledger and last year’s working papers.</w:t>
            </w:r>
          </w:p>
        </w:tc>
        <w:tc>
          <w:tcPr>
            <w:tcW w:w="2485"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In case of initial audit engagements: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Read the most recent financial statements, if any, and the predecessor auditor’s report thereon, if any, for information relevant to opening balances, including disclosures.</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opening balances contain misstatements that materially affect the current period’s financial statements by:</w:t>
            </w:r>
          </w:p>
          <w:p>
            <w:pPr>
              <w:pStyle w:val="ListParagraph"/>
              <w:numPr>
                <w:ilvl w:val="0"/>
                <w:numId w:val="7"/>
              </w:numPr>
              <w:spacing w:lineRule="auto" w:line="240" w:beforeAutospacing="1" w:after="160"/>
              <w:jc w:val="both"/>
              <w:rPr>
                <w:rFonts w:ascii="Arial" w:hAnsi="Arial" w:cs="Arial"/>
                <w:sz w:val="20"/>
                <w:szCs w:val="20"/>
              </w:rPr>
            </w:pPr>
            <w:r>
              <w:rPr>
                <w:rFonts w:cs="Arial" w:ascii="Arial" w:hAnsi="Arial"/>
                <w:sz w:val="20"/>
                <w:szCs w:val="20"/>
              </w:rPr>
              <w:t>Determining whether the prior period’s closing balances have been correctly brought forward to the current period or, when appropriate, have been restated;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Determining whether the opening balances reflect the application of appropriate accounting policies; and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 xml:space="preserve">Performing one or more of the following: </w:t>
            </w:r>
          </w:p>
          <w:p>
            <w:pPr>
              <w:pStyle w:val="ListParagraph"/>
              <w:numPr>
                <w:ilvl w:val="0"/>
                <w:numId w:val="8"/>
              </w:numPr>
              <w:spacing w:lineRule="auto" w:line="240" w:beforeAutospacing="1" w:after="160"/>
              <w:jc w:val="both"/>
              <w:rPr>
                <w:rFonts w:ascii="Arial" w:hAnsi="Arial" w:cs="Arial"/>
                <w:sz w:val="20"/>
                <w:szCs w:val="20"/>
              </w:rPr>
            </w:pPr>
            <w:r>
              <w:rPr>
                <w:rFonts w:cs="Arial" w:ascii="Arial" w:hAnsi="Arial"/>
                <w:sz w:val="20"/>
                <w:szCs w:val="20"/>
              </w:rPr>
              <w:t>Where the prior year financial statements were audited, reviewing the predecessor auditor’s working papers to obtain evidence regarding the opening balances;</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Evaluating whether audit procedures performed in the current period provide evidence relevant to the opening balances; or</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Performing specific audit procedures to obtain evidence regarding the opening balances.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If the evidenced that the opening balances contain misstatements that could materially affect the current period’s financial statements, then perform such additional audit procedures as are appropriate in the circumstances to determine the effect on the current period’s financial statements. If concluded that such misstatements exist in the current period’s financial statements, then communicate the misstatements with the appropriate level of management and those charged with governance.</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accounting policies reflected in the opening balances have been consistently applied in the current period’s financial statements, and whether changes in the accounting policies have been appropriately accounted for and adequately presented and disclosed.</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bank statements for the year ended and subsequent period as well and examine for any unusual transactions.</w:t>
            </w:r>
          </w:p>
        </w:tc>
        <w:tc>
          <w:tcPr>
            <w:tcW w:w="2485"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Obtain and</w:t>
              <w:tab/>
              <w:t>examine bank reconciliations to ensure the following:</w:t>
            </w:r>
          </w:p>
          <w:p>
            <w:pPr>
              <w:pStyle w:val="ListParagraph"/>
              <w:numPr>
                <w:ilvl w:val="0"/>
                <w:numId w:val="10"/>
              </w:numPr>
              <w:spacing w:lineRule="auto" w:line="240" w:beforeAutospacing="1" w:after="160"/>
              <w:jc w:val="both"/>
              <w:rPr>
                <w:rFonts w:ascii="Arial" w:hAnsi="Arial" w:cs="Arial"/>
                <w:sz w:val="20"/>
                <w:szCs w:val="20"/>
              </w:rPr>
            </w:pPr>
            <w:r>
              <w:rPr>
                <w:rFonts w:cs="Arial" w:ascii="Arial" w:hAnsi="Arial"/>
                <w:sz w:val="20"/>
                <w:szCs w:val="20"/>
              </w:rPr>
              <w:t>No long outstanding item should remain un-followed.</w:t>
            </w:r>
          </w:p>
          <w:p>
            <w:pPr>
              <w:pStyle w:val="ListParagraph"/>
              <w:numPr>
                <w:ilvl w:val="0"/>
                <w:numId w:val="10"/>
              </w:numPr>
              <w:spacing w:lineRule="auto" w:line="240" w:before="0" w:after="160"/>
              <w:jc w:val="both"/>
              <w:rPr>
                <w:rFonts w:ascii="Arial" w:hAnsi="Arial" w:cs="Arial"/>
                <w:sz w:val="20"/>
                <w:szCs w:val="20"/>
              </w:rPr>
            </w:pPr>
            <w:r>
              <w:rPr>
                <w:rFonts w:cs="Arial" w:ascii="Arial" w:hAnsi="Arial"/>
                <w:sz w:val="20"/>
                <w:szCs w:val="20"/>
              </w:rPr>
              <w:t>No revenue nature item should be appearing.</w:t>
            </w:r>
          </w:p>
          <w:p>
            <w:pPr>
              <w:pStyle w:val="ListParagraph"/>
              <w:numPr>
                <w:ilvl w:val="0"/>
                <w:numId w:val="10"/>
              </w:numPr>
              <w:spacing w:lineRule="auto" w:line="240" w:before="0" w:after="160"/>
              <w:jc w:val="both"/>
              <w:rPr>
                <w:rFonts w:ascii="Arial" w:hAnsi="Arial" w:cs="Arial"/>
                <w:sz w:val="20"/>
                <w:szCs w:val="20"/>
              </w:rPr>
            </w:pPr>
            <w:r>
              <w:rPr>
                <w:rFonts w:cs="Arial" w:ascii="Arial" w:hAnsi="Arial"/>
                <w:sz w:val="20"/>
                <w:szCs w:val="20"/>
              </w:rPr>
              <w:t xml:space="preserve">Check subsequent clearance of all deposits made (preferably cleared within two days). </w:t>
            </w:r>
          </w:p>
          <w:p>
            <w:pPr>
              <w:pStyle w:val="ListParagraph"/>
              <w:numPr>
                <w:ilvl w:val="0"/>
                <w:numId w:val="10"/>
              </w:numPr>
              <w:spacing w:lineRule="auto" w:line="240" w:before="0" w:after="160"/>
              <w:jc w:val="both"/>
              <w:rPr>
                <w:rFonts w:ascii="Arial" w:hAnsi="Arial" w:cs="Arial"/>
                <w:sz w:val="20"/>
                <w:szCs w:val="20"/>
              </w:rPr>
            </w:pPr>
            <w:r>
              <w:rPr>
                <w:rFonts w:cs="Arial" w:ascii="Arial" w:hAnsi="Arial"/>
                <w:sz w:val="20"/>
                <w:szCs w:val="20"/>
              </w:rPr>
              <w:t>No long outstanding cheques of significant amount are un-presented; if so then check their payment voucher and ensure that no discrepancy is involved.</w:t>
            </w:r>
          </w:p>
        </w:tc>
        <w:tc>
          <w:tcPr>
            <w:tcW w:w="2485"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7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all bank accounts are in client</w:t>
            </w:r>
            <w:bookmarkStart w:id="1" w:name="_GoBack"/>
            <w:bookmarkEnd w:id="1"/>
            <w:r>
              <w:rPr>
                <w:rFonts w:cs="Arial" w:ascii="Arial" w:hAnsi="Arial"/>
                <w:sz w:val="20"/>
                <w:szCs w:val="20"/>
              </w:rPr>
              <w:t>'s name.</w:t>
            </w:r>
          </w:p>
        </w:tc>
        <w:tc>
          <w:tcPr>
            <w:tcW w:w="2485"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7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Where any balances subject to any encumbrance, check the disclosure thereof.</w:t>
            </w:r>
          </w:p>
        </w:tc>
        <w:tc>
          <w:tcPr>
            <w:tcW w:w="2485"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Convert FCY accounts into PKR at year end rate by identifying applicable exchange rates and agreeing them to an independent source.</w:t>
            </w:r>
          </w:p>
        </w:tc>
        <w:tc>
          <w:tcPr>
            <w:tcW w:w="2485" w:type="dxa"/>
            <w:gridSpan w:val="2"/>
            <w:tcBorders/>
            <w:shd w:fill="auto" w:val="clear"/>
          </w:tcPr>
          <w:p>
            <w:pPr>
              <w:pStyle w:val="TableParagraph"/>
              <w:spacing w:lineRule="exact" w:line="252"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closing balances as per our working papers are in match with the general ledger.</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TableParagraph"/>
              <w:spacing w:lineRule="auto" w:line="240" w:before="0" w:after="0"/>
              <w:ind w:left="1" w:hanging="1"/>
              <w:jc w:val="both"/>
              <w:rPr>
                <w:rFonts w:ascii="Arial" w:hAnsi="Arial" w:cs="Arial"/>
                <w:b/>
                <w:b/>
                <w:sz w:val="20"/>
                <w:szCs w:val="20"/>
              </w:rPr>
            </w:pPr>
            <w:r>
              <w:rPr>
                <w:rFonts w:cs="Arial" w:ascii="Arial" w:hAnsi="Arial"/>
                <w:b/>
                <w:sz w:val="20"/>
                <w:szCs w:val="20"/>
              </w:rPr>
              <w:t>Substantive Analytical Procedures</w:t>
            </w:r>
          </w:p>
        </w:tc>
      </w:tr>
      <w:tr>
        <w:trPr>
          <w:trHeight w:val="20" w:hRule="atLeast"/>
        </w:trPr>
        <w:tc>
          <w:tcPr>
            <w:tcW w:w="8000" w:type="dxa"/>
            <w:tcBorders/>
            <w:shd w:fill="auto" w:val="clear"/>
          </w:tcPr>
          <w:p>
            <w:pPr>
              <w:pStyle w:val="ListParagraph"/>
              <w:numPr>
                <w:ilvl w:val="0"/>
                <w:numId w:val="4"/>
              </w:numPr>
              <w:spacing w:lineRule="auto" w:line="240" w:beforeAutospacing="1" w:after="0"/>
              <w:jc w:val="both"/>
              <w:rPr/>
            </w:pPr>
            <w:r>
              <w:rPr>
                <w:rFonts w:cs="Arial" w:ascii="Arial" w:hAnsi="Arial"/>
                <w:sz w:val="20"/>
                <w:szCs w:val="20"/>
              </w:rPr>
              <w:t>Document logical commercial reasons for new bank accounts opened and closed during the year.</w:t>
            </w:r>
          </w:p>
        </w:tc>
        <w:tc>
          <w:tcPr>
            <w:tcW w:w="2485" w:type="dxa"/>
            <w:gridSpan w:val="2"/>
            <w:tcBorders/>
            <w:shd w:fill="auto" w:val="clear"/>
          </w:tcPr>
          <w:p>
            <w:pPr>
              <w:pStyle w:val="TableParagraph"/>
              <w:spacing w:lineRule="exact" w:line="248"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Compare current year balances with last year balances and ensure that any significant variation should be properly and logically reasoned.</w:t>
            </w:r>
          </w:p>
        </w:tc>
        <w:tc>
          <w:tcPr>
            <w:tcW w:w="2485"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Arial MT">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88192462"/>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5</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6" wp14:anchorId="1699B376">
              <wp:simplePos x="0" y="0"/>
              <wp:positionH relativeFrom="margin">
                <wp:posOffset>70485</wp:posOffset>
              </wp:positionH>
              <wp:positionV relativeFrom="paragraph">
                <wp:posOffset>-351155</wp:posOffset>
              </wp:positionV>
              <wp:extent cx="8089265" cy="705485"/>
              <wp:effectExtent l="0" t="0" r="7620" b="0"/>
              <wp:wrapNone/>
              <wp:docPr id="1" name="Group 5"/>
              <a:graphic xmlns:a="http://schemas.openxmlformats.org/drawingml/2006/main">
                <a:graphicData uri="http://schemas.microsoft.com/office/word/2010/wordprocessingGroup">
                  <wpg:wgp>
                    <wpg:cNvGrpSpPr/>
                    <wpg:grpSpPr>
                      <a:xfrm>
                        <a:off x="0" y="0"/>
                        <a:ext cx="8088480" cy="704880"/>
                      </a:xfrm>
                    </wpg:grpSpPr>
                    <wps:wsp>
                      <wps:cNvSpPr/>
                      <wps:spPr>
                        <a:xfrm>
                          <a:off x="0" y="0"/>
                          <a:ext cx="467100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786360" y="71280"/>
                          <a:ext cx="1302480" cy="518760"/>
                        </a:xfrm>
                        <a:prstGeom prst="rect">
                          <a:avLst/>
                        </a:prstGeom>
                        <a:ln>
                          <a:noFill/>
                        </a:ln>
                      </pic:spPr>
                    </pic:pic>
                  </wpg:wgp>
                </a:graphicData>
              </a:graphic>
            </wp:anchor>
          </w:drawing>
        </mc:Choice>
        <mc:Fallback>
          <w:pict>
            <v:group id="shape_0" alt="Group 5" style="position:absolute;margin-left:5.55pt;margin-top:-27.65pt;width:636.9pt;height:55.5pt" coordorigin="111,-553" coordsize="12738,1110">
              <v:rect id="shape_0" ID="Text Box 2" fillcolor="white" stroked="f" style="position:absolute;left:111;top:-553;width:7355;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798;top:-441;width:2050;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rPr>
        <w:sz w:val="20"/>
        <w:spacing w:val="-1"/>
        <w:szCs w:val="22"/>
        <w:w w:val="99"/>
        <w:rFonts w:ascii="Arial" w:hAnsi="Arial" w:eastAsia="Arial MT" w:cs="Arial M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BodyTextChar" w:customStyle="1">
    <w:name w:val="Body Text Char"/>
    <w:basedOn w:val="DefaultParagraphFont"/>
    <w:link w:val="BodyText"/>
    <w:uiPriority w:val="99"/>
    <w:semiHidden/>
    <w:qFormat/>
    <w:rsid w:val="003b71e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eastAsia="Arial MT" w:cs="Arial MT"/>
      <w:w w:val="99"/>
      <w:sz w:val="22"/>
      <w:szCs w:val="22"/>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lang w:val="en-US" w:eastAsia="en-US" w:bidi="ar-SA"/>
    </w:rPr>
  </w:style>
  <w:style w:type="character" w:styleId="ListLabel11">
    <w:name w:val="ListLabel 11"/>
    <w:qFormat/>
    <w:rPr>
      <w:lang w:val="en-US" w:eastAsia="en-US" w:bidi="ar-SA"/>
    </w:rPr>
  </w:style>
  <w:style w:type="character" w:styleId="ListLabel12">
    <w:name w:val="ListLabel 12"/>
    <w:qFormat/>
    <w:rPr>
      <w:rFonts w:eastAsia="Wingdings" w:cs="Wingdings"/>
      <w:w w:val="100"/>
      <w:sz w:val="18"/>
      <w:szCs w:val="18"/>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lang w:val="en-US" w:eastAsia="en-US" w:bidi="ar-SA"/>
    </w:rPr>
  </w:style>
  <w:style w:type="character" w:styleId="ListLabel20">
    <w:name w:val="ListLabel 20"/>
    <w:qFormat/>
    <w:rPr>
      <w:lang w:val="en-US" w:eastAsia="en-US" w:bidi="ar-SA"/>
    </w:rPr>
  </w:style>
  <w:style w:type="character" w:styleId="ListLabel21">
    <w:name w:val="ListLabel 21"/>
    <w:qFormat/>
    <w:rPr>
      <w:rFonts w:eastAsia="Arial MT" w:cs="Arial MT"/>
      <w:w w:val="99"/>
      <w:sz w:val="22"/>
      <w:szCs w:val="22"/>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lang w:val="en-US" w:eastAsia="en-US" w:bidi="ar-SA"/>
    </w:rPr>
  </w:style>
  <w:style w:type="character" w:styleId="ListLabel29">
    <w:name w:val="ListLabel 29"/>
    <w:qFormat/>
    <w:rPr>
      <w:lang w:val="en-US" w:eastAsia="en-US" w:bidi="ar-SA"/>
    </w:rPr>
  </w:style>
  <w:style w:type="character" w:styleId="ListLabel30">
    <w:name w:val="ListLabel 30"/>
    <w:qFormat/>
    <w:rPr>
      <w:rFonts w:eastAsia="Arial MT" w:cs="Arial MT"/>
      <w:w w:val="99"/>
      <w:sz w:val="22"/>
      <w:szCs w:val="22"/>
      <w:lang w:val="en-US" w:eastAsia="en-US" w:bidi="ar-SA"/>
    </w:rPr>
  </w:style>
  <w:style w:type="character" w:styleId="ListLabel31">
    <w:name w:val="ListLabel 31"/>
    <w:qFormat/>
    <w:rPr>
      <w:lang w:val="en-US" w:eastAsia="en-US" w:bidi="ar-SA"/>
    </w:rPr>
  </w:style>
  <w:style w:type="character" w:styleId="ListLabel32">
    <w:name w:val="ListLabel 32"/>
    <w:qFormat/>
    <w:rPr>
      <w:lang w:val="en-US" w:eastAsia="en-US" w:bidi="ar-SA"/>
    </w:rPr>
  </w:style>
  <w:style w:type="character" w:styleId="ListLabel33">
    <w:name w:val="ListLabel 33"/>
    <w:qFormat/>
    <w:rPr>
      <w:lang w:val="en-US" w:eastAsia="en-US" w:bidi="ar-SA"/>
    </w:rPr>
  </w:style>
  <w:style w:type="character" w:styleId="ListLabel34">
    <w:name w:val="ListLabel 34"/>
    <w:qFormat/>
    <w:rPr>
      <w:lang w:val="en-US" w:eastAsia="en-US" w:bidi="ar-SA"/>
    </w:rPr>
  </w:style>
  <w:style w:type="character" w:styleId="ListLabel35">
    <w:name w:val="ListLabel 35"/>
    <w:qFormat/>
    <w:rPr>
      <w:lang w:val="en-US" w:eastAsia="en-US" w:bidi="ar-SA"/>
    </w:rPr>
  </w:style>
  <w:style w:type="character" w:styleId="ListLabel36">
    <w:name w:val="ListLabel 36"/>
    <w:qFormat/>
    <w:rPr>
      <w:lang w:val="en-US" w:eastAsia="en-US" w:bidi="ar-SA"/>
    </w:rPr>
  </w:style>
  <w:style w:type="character" w:styleId="ListLabel37">
    <w:name w:val="ListLabel 37"/>
    <w:qFormat/>
    <w:rPr>
      <w:lang w:val="en-US" w:eastAsia="en-US" w:bidi="ar-SA"/>
    </w:rPr>
  </w:style>
  <w:style w:type="character" w:styleId="ListLabel38">
    <w:name w:val="ListLabel 38"/>
    <w:qFormat/>
    <w:rPr>
      <w:lang w:val="en-US" w:eastAsia="en-US" w:bidi="ar-SA"/>
    </w:rPr>
  </w:style>
  <w:style w:type="character" w:styleId="ListLabel39">
    <w:name w:val="ListLabel 39"/>
    <w:qFormat/>
    <w:rPr>
      <w:rFonts w:eastAsia="Arial MT" w:cs="Arial MT"/>
      <w:w w:val="99"/>
      <w:sz w:val="22"/>
      <w:szCs w:val="22"/>
      <w:lang w:val="en-US" w:eastAsia="en-US" w:bidi="ar-SA"/>
    </w:rPr>
  </w:style>
  <w:style w:type="character" w:styleId="ListLabel40">
    <w:name w:val="ListLabel 40"/>
    <w:qFormat/>
    <w:rPr>
      <w:lang w:val="en-US" w:eastAsia="en-US" w:bidi="ar-SA"/>
    </w:rPr>
  </w:style>
  <w:style w:type="character" w:styleId="ListLabel41">
    <w:name w:val="ListLabel 41"/>
    <w:qFormat/>
    <w:rPr>
      <w:lang w:val="en-US" w:eastAsia="en-US" w:bidi="ar-SA"/>
    </w:rPr>
  </w:style>
  <w:style w:type="character" w:styleId="ListLabel42">
    <w:name w:val="ListLabel 42"/>
    <w:qFormat/>
    <w:rPr>
      <w:lang w:val="en-US" w:eastAsia="en-US" w:bidi="ar-SA"/>
    </w:rPr>
  </w:style>
  <w:style w:type="character" w:styleId="ListLabel43">
    <w:name w:val="ListLabel 43"/>
    <w:qFormat/>
    <w:rPr>
      <w:lang w:val="en-US" w:eastAsia="en-US" w:bidi="ar-SA"/>
    </w:rPr>
  </w:style>
  <w:style w:type="character" w:styleId="ListLabel44">
    <w:name w:val="ListLabel 44"/>
    <w:qFormat/>
    <w:rPr>
      <w:lang w:val="en-US" w:eastAsia="en-US" w:bidi="ar-SA"/>
    </w:rPr>
  </w:style>
  <w:style w:type="character" w:styleId="ListLabel45">
    <w:name w:val="ListLabel 45"/>
    <w:qFormat/>
    <w:rPr>
      <w:lang w:val="en-US" w:eastAsia="en-US" w:bidi="ar-SA"/>
    </w:rPr>
  </w:style>
  <w:style w:type="character" w:styleId="ListLabel46">
    <w:name w:val="ListLabel 46"/>
    <w:qFormat/>
    <w:rPr>
      <w:lang w:val="en-US" w:eastAsia="en-US" w:bidi="ar-SA"/>
    </w:rPr>
  </w:style>
  <w:style w:type="character" w:styleId="ListLabel47">
    <w:name w:val="ListLabel 47"/>
    <w:qFormat/>
    <w:rPr>
      <w:lang w:val="en-US" w:eastAsia="en-US" w:bidi="ar-SA"/>
    </w:rPr>
  </w:style>
  <w:style w:type="character" w:styleId="ListLabel48">
    <w:name w:val="ListLabel 48"/>
    <w:qFormat/>
    <w:rPr>
      <w:rFonts w:eastAsia="Arial MT" w:cs="Arial MT"/>
      <w:w w:val="99"/>
      <w:sz w:val="22"/>
      <w:szCs w:val="22"/>
      <w:lang w:val="en-US" w:eastAsia="en-US" w:bidi="ar-SA"/>
    </w:rPr>
  </w:style>
  <w:style w:type="character" w:styleId="ListLabel49">
    <w:name w:val="ListLabel 49"/>
    <w:qFormat/>
    <w:rPr>
      <w:lang w:val="en-US" w:eastAsia="en-US" w:bidi="ar-SA"/>
    </w:rPr>
  </w:style>
  <w:style w:type="character" w:styleId="ListLabel50">
    <w:name w:val="ListLabel 50"/>
    <w:qFormat/>
    <w:rPr>
      <w:lang w:val="en-US" w:eastAsia="en-US" w:bidi="ar-SA"/>
    </w:rPr>
  </w:style>
  <w:style w:type="character" w:styleId="ListLabel51">
    <w:name w:val="ListLabel 51"/>
    <w:qFormat/>
    <w:rPr>
      <w:lang w:val="en-US" w:eastAsia="en-US" w:bidi="ar-SA"/>
    </w:rPr>
  </w:style>
  <w:style w:type="character" w:styleId="ListLabel52">
    <w:name w:val="ListLabel 52"/>
    <w:qFormat/>
    <w:rPr>
      <w:lang w:val="en-US" w:eastAsia="en-US" w:bidi="ar-SA"/>
    </w:rPr>
  </w:style>
  <w:style w:type="character" w:styleId="ListLabel53">
    <w:name w:val="ListLabel 53"/>
    <w:qFormat/>
    <w:rPr>
      <w:lang w:val="en-US" w:eastAsia="en-US" w:bidi="ar-SA"/>
    </w:rPr>
  </w:style>
  <w:style w:type="character" w:styleId="ListLabel54">
    <w:name w:val="ListLabel 54"/>
    <w:qFormat/>
    <w:rPr>
      <w:lang w:val="en-US" w:eastAsia="en-US" w:bidi="ar-SA"/>
    </w:rPr>
  </w:style>
  <w:style w:type="character" w:styleId="ListLabel55">
    <w:name w:val="ListLabel 55"/>
    <w:qFormat/>
    <w:rPr>
      <w:lang w:val="en-US" w:eastAsia="en-US" w:bidi="ar-SA"/>
    </w:rPr>
  </w:style>
  <w:style w:type="character" w:styleId="ListLabel56">
    <w:name w:val="ListLabel 56"/>
    <w:qFormat/>
    <w:rPr>
      <w:lang w:val="en-US" w:eastAsia="en-US" w:bidi="ar-SA"/>
    </w:rPr>
  </w:style>
  <w:style w:type="character" w:styleId="ListLabel57">
    <w:name w:val="ListLabel 57"/>
    <w:qFormat/>
    <w:rPr>
      <w:rFonts w:eastAsia="Arial MT" w:cs="Arial MT"/>
      <w:w w:val="99"/>
      <w:sz w:val="22"/>
      <w:szCs w:val="22"/>
      <w:lang w:val="en-US" w:eastAsia="en-US" w:bidi="ar-SA"/>
    </w:rPr>
  </w:style>
  <w:style w:type="character" w:styleId="ListLabel58">
    <w:name w:val="ListLabel 58"/>
    <w:qFormat/>
    <w:rPr>
      <w:lang w:val="en-US" w:eastAsia="en-US" w:bidi="ar-SA"/>
    </w:rPr>
  </w:style>
  <w:style w:type="character" w:styleId="ListLabel59">
    <w:name w:val="ListLabel 59"/>
    <w:qFormat/>
    <w:rPr>
      <w:lang w:val="en-US" w:eastAsia="en-US" w:bidi="ar-SA"/>
    </w:rPr>
  </w:style>
  <w:style w:type="character" w:styleId="ListLabel60">
    <w:name w:val="ListLabel 60"/>
    <w:qFormat/>
    <w:rPr>
      <w:lang w:val="en-US" w:eastAsia="en-US" w:bidi="ar-SA"/>
    </w:rPr>
  </w:style>
  <w:style w:type="character" w:styleId="ListLabel61">
    <w:name w:val="ListLabel 61"/>
    <w:qFormat/>
    <w:rPr>
      <w:lang w:val="en-US" w:eastAsia="en-US" w:bidi="ar-SA"/>
    </w:rPr>
  </w:style>
  <w:style w:type="character" w:styleId="ListLabel62">
    <w:name w:val="ListLabel 62"/>
    <w:qFormat/>
    <w:rPr>
      <w:lang w:val="en-US" w:eastAsia="en-US" w:bidi="ar-SA"/>
    </w:rPr>
  </w:style>
  <w:style w:type="character" w:styleId="ListLabel63">
    <w:name w:val="ListLabel 63"/>
    <w:qFormat/>
    <w:rPr>
      <w:lang w:val="en-US" w:eastAsia="en-US" w:bidi="ar-SA"/>
    </w:rPr>
  </w:style>
  <w:style w:type="character" w:styleId="ListLabel64">
    <w:name w:val="ListLabel 64"/>
    <w:qFormat/>
    <w:rPr>
      <w:lang w:val="en-US" w:eastAsia="en-US" w:bidi="ar-SA"/>
    </w:rPr>
  </w:style>
  <w:style w:type="character" w:styleId="ListLabel65">
    <w:name w:val="ListLabel 65"/>
    <w:qFormat/>
    <w:rPr>
      <w:lang w:val="en-US" w:eastAsia="en-US" w:bidi="ar-SA"/>
    </w:rPr>
  </w:style>
  <w:style w:type="character" w:styleId="ListLabel66">
    <w:name w:val="ListLabel 66"/>
    <w:qFormat/>
    <w:rPr>
      <w:rFonts w:eastAsia="Arial MT" w:cs="Arial MT"/>
      <w:w w:val="99"/>
      <w:sz w:val="22"/>
      <w:szCs w:val="22"/>
      <w:lang w:val="en-US" w:eastAsia="en-US" w:bidi="ar-SA"/>
    </w:rPr>
  </w:style>
  <w:style w:type="character" w:styleId="ListLabel67">
    <w:name w:val="ListLabel 67"/>
    <w:qFormat/>
    <w:rPr>
      <w:lang w:val="en-US" w:eastAsia="en-US" w:bidi="ar-SA"/>
    </w:rPr>
  </w:style>
  <w:style w:type="character" w:styleId="ListLabel68">
    <w:name w:val="ListLabel 68"/>
    <w:qFormat/>
    <w:rPr>
      <w:lang w:val="en-US" w:eastAsia="en-US" w:bidi="ar-SA"/>
    </w:rPr>
  </w:style>
  <w:style w:type="character" w:styleId="ListLabel69">
    <w:name w:val="ListLabel 69"/>
    <w:qFormat/>
    <w:rPr>
      <w:lang w:val="en-US" w:eastAsia="en-US" w:bidi="ar-SA"/>
    </w:rPr>
  </w:style>
  <w:style w:type="character" w:styleId="ListLabel70">
    <w:name w:val="ListLabel 70"/>
    <w:qFormat/>
    <w:rPr>
      <w:lang w:val="en-US" w:eastAsia="en-US" w:bidi="ar-SA"/>
    </w:rPr>
  </w:style>
  <w:style w:type="character" w:styleId="ListLabel71">
    <w:name w:val="ListLabel 71"/>
    <w:qFormat/>
    <w:rPr>
      <w:lang w:val="en-US" w:eastAsia="en-US" w:bidi="ar-SA"/>
    </w:rPr>
  </w:style>
  <w:style w:type="character" w:styleId="ListLabel72">
    <w:name w:val="ListLabel 72"/>
    <w:qFormat/>
    <w:rPr>
      <w:lang w:val="en-US" w:eastAsia="en-US" w:bidi="ar-SA"/>
    </w:rPr>
  </w:style>
  <w:style w:type="character" w:styleId="ListLabel73">
    <w:name w:val="ListLabel 73"/>
    <w:qFormat/>
    <w:rPr>
      <w:lang w:val="en-US" w:eastAsia="en-US" w:bidi="ar-SA"/>
    </w:rPr>
  </w:style>
  <w:style w:type="character" w:styleId="ListLabel74">
    <w:name w:val="ListLabel 74"/>
    <w:qFormat/>
    <w:rPr>
      <w:lang w:val="en-US" w:eastAsia="en-US" w:bidi="ar-SA"/>
    </w:rPr>
  </w:style>
  <w:style w:type="character" w:styleId="ListLabel75">
    <w:name w:val="ListLabel 75"/>
    <w:qFormat/>
    <w:rPr>
      <w:rFonts w:eastAsia="Arial MT" w:cs="Arial MT"/>
      <w:w w:val="99"/>
      <w:sz w:val="22"/>
      <w:szCs w:val="22"/>
      <w:lang w:val="en-US" w:eastAsia="en-US" w:bidi="ar-SA"/>
    </w:rPr>
  </w:style>
  <w:style w:type="character" w:styleId="ListLabel76">
    <w:name w:val="ListLabel 76"/>
    <w:qFormat/>
    <w:rPr>
      <w:lang w:val="en-US" w:eastAsia="en-US" w:bidi="ar-SA"/>
    </w:rPr>
  </w:style>
  <w:style w:type="character" w:styleId="ListLabel77">
    <w:name w:val="ListLabel 77"/>
    <w:qFormat/>
    <w:rPr>
      <w:lang w:val="en-US" w:eastAsia="en-US" w:bidi="ar-SA"/>
    </w:rPr>
  </w:style>
  <w:style w:type="character" w:styleId="ListLabel78">
    <w:name w:val="ListLabel 78"/>
    <w:qFormat/>
    <w:rPr>
      <w:lang w:val="en-US" w:eastAsia="en-US" w:bidi="ar-SA"/>
    </w:rPr>
  </w:style>
  <w:style w:type="character" w:styleId="ListLabel79">
    <w:name w:val="ListLabel 79"/>
    <w:qFormat/>
    <w:rPr>
      <w:lang w:val="en-US" w:eastAsia="en-US" w:bidi="ar-SA"/>
    </w:rPr>
  </w:style>
  <w:style w:type="character" w:styleId="ListLabel80">
    <w:name w:val="ListLabel 80"/>
    <w:qFormat/>
    <w:rPr>
      <w:lang w:val="en-US" w:eastAsia="en-US" w:bidi="ar-SA"/>
    </w:rPr>
  </w:style>
  <w:style w:type="character" w:styleId="ListLabel81">
    <w:name w:val="ListLabel 81"/>
    <w:qFormat/>
    <w:rPr>
      <w:lang w:val="en-US" w:eastAsia="en-US" w:bidi="ar-SA"/>
    </w:rPr>
  </w:style>
  <w:style w:type="character" w:styleId="ListLabel82">
    <w:name w:val="ListLabel 82"/>
    <w:qFormat/>
    <w:rPr>
      <w:lang w:val="en-US" w:eastAsia="en-US" w:bidi="ar-SA"/>
    </w:rPr>
  </w:style>
  <w:style w:type="character" w:styleId="ListLabel83">
    <w:name w:val="ListLabel 83"/>
    <w:qFormat/>
    <w:rPr>
      <w:lang w:val="en-US" w:eastAsia="en-US" w:bidi="ar-SA"/>
    </w:rPr>
  </w:style>
  <w:style w:type="character" w:styleId="ListLabel84">
    <w:name w:val="ListLabel 84"/>
    <w:qFormat/>
    <w:rPr>
      <w:rFonts w:eastAsia="Arial MT" w:cs="Arial MT"/>
      <w:w w:val="99"/>
      <w:sz w:val="22"/>
      <w:szCs w:val="22"/>
      <w:lang w:val="en-US" w:eastAsia="en-US" w:bidi="ar-SA"/>
    </w:rPr>
  </w:style>
  <w:style w:type="character" w:styleId="ListLabel85">
    <w:name w:val="ListLabel 85"/>
    <w:qFormat/>
    <w:rPr>
      <w:lang w:val="en-US" w:eastAsia="en-US" w:bidi="ar-SA"/>
    </w:rPr>
  </w:style>
  <w:style w:type="character" w:styleId="ListLabel86">
    <w:name w:val="ListLabel 86"/>
    <w:qFormat/>
    <w:rPr>
      <w:lang w:val="en-US" w:eastAsia="en-US" w:bidi="ar-SA"/>
    </w:rPr>
  </w:style>
  <w:style w:type="character" w:styleId="ListLabel87">
    <w:name w:val="ListLabel 87"/>
    <w:qFormat/>
    <w:rPr>
      <w:lang w:val="en-US" w:eastAsia="en-US" w:bidi="ar-SA"/>
    </w:rPr>
  </w:style>
  <w:style w:type="character" w:styleId="ListLabel88">
    <w:name w:val="ListLabel 88"/>
    <w:qFormat/>
    <w:rPr>
      <w:lang w:val="en-US" w:eastAsia="en-US" w:bidi="ar-SA"/>
    </w:rPr>
  </w:style>
  <w:style w:type="character" w:styleId="ListLabel89">
    <w:name w:val="ListLabel 89"/>
    <w:qFormat/>
    <w:rPr>
      <w:lang w:val="en-US" w:eastAsia="en-US" w:bidi="ar-SA"/>
    </w:rPr>
  </w:style>
  <w:style w:type="character" w:styleId="ListLabel90">
    <w:name w:val="ListLabel 90"/>
    <w:qFormat/>
    <w:rPr>
      <w:lang w:val="en-US" w:eastAsia="en-US" w:bidi="ar-SA"/>
    </w:rPr>
  </w:style>
  <w:style w:type="character" w:styleId="ListLabel91">
    <w:name w:val="ListLabel 91"/>
    <w:qFormat/>
    <w:rPr>
      <w:lang w:val="en-US" w:eastAsia="en-US" w:bidi="ar-SA"/>
    </w:rPr>
  </w:style>
  <w:style w:type="character" w:styleId="ListLabel92">
    <w:name w:val="ListLabel 92"/>
    <w:qFormat/>
    <w:rPr>
      <w:lang w:val="en-US" w:eastAsia="en-US" w:bidi="ar-SA"/>
    </w:rPr>
  </w:style>
  <w:style w:type="character" w:styleId="ListLabel93">
    <w:name w:val="ListLabel 93"/>
    <w:qFormat/>
    <w:rPr>
      <w:rFonts w:eastAsia="Wingdings" w:cs="Wingdings"/>
      <w:w w:val="100"/>
      <w:sz w:val="18"/>
      <w:szCs w:val="18"/>
      <w:lang w:val="en-US" w:eastAsia="en-US" w:bidi="ar-SA"/>
    </w:rPr>
  </w:style>
  <w:style w:type="character" w:styleId="ListLabel94">
    <w:name w:val="ListLabel 94"/>
    <w:qFormat/>
    <w:rPr>
      <w:lang w:val="en-US" w:eastAsia="en-US" w:bidi="ar-SA"/>
    </w:rPr>
  </w:style>
  <w:style w:type="character" w:styleId="ListLabel95">
    <w:name w:val="ListLabel 95"/>
    <w:qFormat/>
    <w:rPr>
      <w:lang w:val="en-US" w:eastAsia="en-US" w:bidi="ar-SA"/>
    </w:rPr>
  </w:style>
  <w:style w:type="character" w:styleId="ListLabel96">
    <w:name w:val="ListLabel 96"/>
    <w:qFormat/>
    <w:rPr>
      <w:lang w:val="en-US" w:eastAsia="en-US" w:bidi="ar-SA"/>
    </w:rPr>
  </w:style>
  <w:style w:type="character" w:styleId="ListLabel97">
    <w:name w:val="ListLabel 97"/>
    <w:qFormat/>
    <w:rPr>
      <w:lang w:val="en-US" w:eastAsia="en-US" w:bidi="ar-SA"/>
    </w:rPr>
  </w:style>
  <w:style w:type="character" w:styleId="ListLabel98">
    <w:name w:val="ListLabel 98"/>
    <w:qFormat/>
    <w:rPr>
      <w:lang w:val="en-US" w:eastAsia="en-US" w:bidi="ar-SA"/>
    </w:rPr>
  </w:style>
  <w:style w:type="character" w:styleId="ListLabel99">
    <w:name w:val="ListLabel 99"/>
    <w:qFormat/>
    <w:rPr>
      <w:lang w:val="en-US" w:eastAsia="en-US" w:bidi="ar-SA"/>
    </w:rPr>
  </w:style>
  <w:style w:type="character" w:styleId="ListLabel100">
    <w:name w:val="ListLabel 100"/>
    <w:qFormat/>
    <w:rPr>
      <w:lang w:val="en-US" w:eastAsia="en-US" w:bidi="ar-SA"/>
    </w:rPr>
  </w:style>
  <w:style w:type="character" w:styleId="ListLabel101">
    <w:name w:val="ListLabel 101"/>
    <w:qFormat/>
    <w:rPr>
      <w:lang w:val="en-US" w:eastAsia="en-US" w:bidi="ar-SA"/>
    </w:rPr>
  </w:style>
  <w:style w:type="character" w:styleId="ListLabel102">
    <w:name w:val="ListLabel 102"/>
    <w:qFormat/>
    <w:rPr>
      <w:rFonts w:eastAsia="Wingdings" w:cs="Wingdings"/>
      <w:w w:val="100"/>
      <w:sz w:val="18"/>
      <w:szCs w:val="18"/>
      <w:lang w:val="en-US" w:eastAsia="en-US" w:bidi="ar-SA"/>
    </w:rPr>
  </w:style>
  <w:style w:type="character" w:styleId="ListLabel103">
    <w:name w:val="ListLabel 103"/>
    <w:qFormat/>
    <w:rPr>
      <w:lang w:val="en-US" w:eastAsia="en-US" w:bidi="ar-SA"/>
    </w:rPr>
  </w:style>
  <w:style w:type="character" w:styleId="ListLabel104">
    <w:name w:val="ListLabel 104"/>
    <w:qFormat/>
    <w:rPr>
      <w:lang w:val="en-US" w:eastAsia="en-US" w:bidi="ar-SA"/>
    </w:rPr>
  </w:style>
  <w:style w:type="character" w:styleId="ListLabel105">
    <w:name w:val="ListLabel 105"/>
    <w:qFormat/>
    <w:rPr>
      <w:lang w:val="en-US" w:eastAsia="en-US" w:bidi="ar-SA"/>
    </w:rPr>
  </w:style>
  <w:style w:type="character" w:styleId="ListLabel106">
    <w:name w:val="ListLabel 106"/>
    <w:qFormat/>
    <w:rPr>
      <w:lang w:val="en-US" w:eastAsia="en-US" w:bidi="ar-SA"/>
    </w:rPr>
  </w:style>
  <w:style w:type="character" w:styleId="ListLabel107">
    <w:name w:val="ListLabel 107"/>
    <w:qFormat/>
    <w:rPr>
      <w:lang w:val="en-US" w:eastAsia="en-US" w:bidi="ar-SA"/>
    </w:rPr>
  </w:style>
  <w:style w:type="character" w:styleId="ListLabel108">
    <w:name w:val="ListLabel 108"/>
    <w:qFormat/>
    <w:rPr>
      <w:lang w:val="en-US" w:eastAsia="en-US" w:bidi="ar-SA"/>
    </w:rPr>
  </w:style>
  <w:style w:type="character" w:styleId="ListLabel109">
    <w:name w:val="ListLabel 109"/>
    <w:qFormat/>
    <w:rPr>
      <w:lang w:val="en-US" w:eastAsia="en-US" w:bidi="ar-SA"/>
    </w:rPr>
  </w:style>
  <w:style w:type="character" w:styleId="ListLabel110">
    <w:name w:val="ListLabel 110"/>
    <w:qFormat/>
    <w:rPr>
      <w:lang w:val="en-US" w:eastAsia="en-US" w:bidi="ar-SA"/>
    </w:rPr>
  </w:style>
  <w:style w:type="character" w:styleId="ListLabel111">
    <w:name w:val="ListLabel 111"/>
    <w:qFormat/>
    <w:rPr>
      <w:rFonts w:eastAsia="" w:cs=""/>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ascii="Arial" w:hAnsi="Arial" w:eastAsia="Arial MT" w:cs="Arial MT"/>
      <w:spacing w:val="-1"/>
      <w:w w:val="99"/>
      <w:sz w:val="20"/>
      <w:szCs w:val="22"/>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99"/>
    <w:semiHidden/>
    <w:unhideWhenUsed/>
    <w:rsid w:val="003b71e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ae2153"/>
    <w:pPr>
      <w:widowControl w:val="false"/>
      <w:spacing w:lineRule="auto" w:line="240" w:before="0" w:after="0"/>
    </w:pPr>
    <w:rPr>
      <w:rFonts w:ascii="Arial MT" w:hAnsi="Arial MT" w:eastAsia="Arial MT" w:cs="Arial M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66ED9-E598-451B-B558-E4E341F4C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Application>LibreOffice/6.1.5.2$Linux_X86_64 LibreOffice_project/10$Build-2</Application>
  <Pages>5</Pages>
  <Words>1024</Words>
  <Characters>5795</Characters>
  <CharactersWithSpaces>6697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2022-09-21T16:03:49Z</dcterms:modified>
  <cp:revision>228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