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*Acceptance/Continuance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90"/>
        <w:gridCol w:w="1784"/>
        <w:gridCol w:w="1786"/>
      </w:tblGrid>
      <w:tr>
        <w:trPr/>
        <w:tc>
          <w:tcPr>
            <w:tcW w:w="5790" w:type="dxa"/>
            <w:tcBorders/>
            <w:shd w:color="auto" w:fill="8EAADB" w:themeFill="accent5" w:themeFillTint="99" w:val="clear"/>
            <w:vAlign w:val="center"/>
          </w:tcPr>
          <w:p>
            <w:pPr>
              <w:pStyle w:val="Normal"/>
              <w:spacing w:lineRule="auto" w:line="240" w:before="240" w:after="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Procedures performed</w:t>
            </w:r>
          </w:p>
        </w:tc>
        <w:tc>
          <w:tcPr>
            <w:tcW w:w="1784"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86" w:type="dxa"/>
            <w:tcBorders/>
            <w:shd w:color="auto" w:fill="8EAADB" w:themeFill="accent5" w:themeFillTint="99" w:val="clear"/>
            <w:vAlign w:val="cente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bookmarkStart w:id="1" w:name="_GoBack"/>
            <w:bookmarkEnd w:id="1"/>
          </w:p>
        </w:tc>
      </w:tr>
      <w:tr>
        <w:trPr>
          <w:trHeight w:val="1169" w:hRule="atLeast"/>
        </w:trPr>
        <w:tc>
          <w:tcPr>
            <w:tcW w:w="579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For new clients, a pre-acceptance investigation was performed and the results were documented and ensured that they remain appropriate. Also communicated with the predecessor auditor. For continuing engagements, the continuance documentation was completed and the results were documented and ensured that they remain appropriate.</w:t>
            </w:r>
          </w:p>
        </w:tc>
        <w:tc>
          <w:tcPr>
            <w:tcW w:w="1784" w:type="dxa"/>
            <w:tcBorders/>
            <w:shd w:fill="auto" w:val="clear"/>
          </w:tcPr>
          <w:p>
            <w:pPr>
              <w:pStyle w:val="Normal"/>
              <w:spacing w:lineRule="auto" w:line="240" w:before="0" w:after="0"/>
              <w:rPr/>
            </w:pPr>
            <w:hyperlink r:id="rId2">
              <w:r>
                <w:rPr>
                  <w:rStyle w:val="InternetLink"/>
                  <w:rFonts w:cs="Arial" w:ascii="Arial" w:hAnsi="Arial"/>
                  <w:b/>
                  <w:sz w:val="20"/>
                  <w:szCs w:val="20"/>
                </w:rPr>
                <w:t>Acceptance Memo.docx</w:t>
              </w:r>
            </w:hyperlink>
            <w:r>
              <w:rPr>
                <w:rStyle w:val="InternetLink"/>
                <w:rFonts w:cs="Arial" w:ascii="Arial" w:hAnsi="Arial"/>
                <w:b/>
                <w:sz w:val="20"/>
                <w:szCs w:val="20"/>
              </w:rPr>
              <w:t xml:space="preserve">/ </w:t>
            </w:r>
            <w:hyperlink r:id="rId3">
              <w:r>
                <w:rPr>
                  <w:rStyle w:val="InternetLink"/>
                  <w:rFonts w:cs="Arial" w:ascii="Arial" w:hAnsi="Arial"/>
                  <w:b/>
                  <w:sz w:val="20"/>
                  <w:szCs w:val="20"/>
                </w:rPr>
                <w:t>Continuance Memo.docx</w:t>
              </w:r>
            </w:hyperlink>
          </w:p>
        </w:tc>
        <w:tc>
          <w:tcPr>
            <w:tcW w:w="1786"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9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considered the impact of the output from the acceptance/continuance process such that each identified risk condition was mapped to either a disposition comment explaining why the condition does not represent a significant risk on the engagement, or to an engagement specific significant risk.</w:t>
            </w:r>
          </w:p>
        </w:tc>
        <w:tc>
          <w:tcPr>
            <w:tcW w:w="1784" w:type="dxa"/>
            <w:tcBorders/>
            <w:shd w:fill="auto" w:val="clear"/>
          </w:tcPr>
          <w:p>
            <w:pPr>
              <w:pStyle w:val="Normal"/>
              <w:spacing w:lineRule="auto" w:line="240" w:before="0" w:after="0"/>
              <w:rPr/>
            </w:pPr>
            <w:hyperlink r:id="rId4">
              <w:r>
                <w:rPr>
                  <w:rStyle w:val="InternetLink"/>
                  <w:rFonts w:cs="Arial" w:ascii="Arial" w:hAnsi="Arial"/>
                  <w:b/>
                  <w:sz w:val="20"/>
                  <w:szCs w:val="20"/>
                </w:rPr>
                <w:t>Acceptance Memo.docx</w:t>
              </w:r>
            </w:hyperlink>
            <w:r>
              <w:rPr>
                <w:rStyle w:val="InternetLink"/>
                <w:rFonts w:cs="Arial" w:ascii="Arial" w:hAnsi="Arial"/>
                <w:b/>
                <w:sz w:val="20"/>
                <w:szCs w:val="20"/>
              </w:rPr>
              <w:t xml:space="preserve">/ </w:t>
            </w:r>
            <w:hyperlink r:id="rId5">
              <w:r>
                <w:rPr>
                  <w:rStyle w:val="InternetLink"/>
                  <w:rFonts w:cs="Arial" w:ascii="Arial" w:hAnsi="Arial"/>
                  <w:b/>
                  <w:sz w:val="20"/>
                  <w:szCs w:val="20"/>
                </w:rPr>
                <w:t>Continuance Memo.docx</w:t>
              </w:r>
            </w:hyperlink>
          </w:p>
        </w:tc>
        <w:tc>
          <w:tcPr>
            <w:tcW w:w="1786"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1440" w:hRule="atLeast"/>
        </w:trPr>
        <w:tc>
          <w:tcPr>
            <w:tcW w:w="579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confirmed that all required approvals were obtained in a timely manner:</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Form A/B and Form 29 for confirmation of appointment.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In case of new clients, NOC from retiring auditor. However, in case of late appointment, confirmed resignation of retiring auditor had been obtained and sought NOC after other formalities.</w:t>
            </w:r>
          </w:p>
        </w:tc>
        <w:tc>
          <w:tcPr>
            <w:tcW w:w="178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For a) Attach required documents.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For b) Not applicable since it is not a new client </w:t>
            </w:r>
            <w:r>
              <w:rPr>
                <w:rFonts w:cs="Arial" w:ascii="Arial" w:hAnsi="Arial"/>
                <w:sz w:val="20"/>
                <w:szCs w:val="20"/>
                <w:u w:val="single"/>
              </w:rPr>
              <w:t>or</w:t>
            </w:r>
            <w:r>
              <w:rPr>
                <w:rFonts w:cs="Arial" w:ascii="Arial" w:hAnsi="Arial"/>
                <w:sz w:val="20"/>
                <w:szCs w:val="20"/>
              </w:rPr>
              <w:t xml:space="preserve"> attach required documents.</w:t>
            </w:r>
          </w:p>
        </w:tc>
        <w:tc>
          <w:tcPr>
            <w:tcW w:w="1786"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861400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simplePos x="0" y="0"/>
              <wp:positionH relativeFrom="margin">
                <wp:posOffset>-294005</wp:posOffset>
              </wp:positionH>
              <wp:positionV relativeFrom="paragraph">
                <wp:posOffset>-351155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15pt;margin-top:-27.65pt;width:514.1pt;height:55.55pt" coordorigin="-463,-553" coordsize="10282,1111">
              <v:rect id="shape_0" fillcolor="white" stroked="f" style="position:absolute;left:-463;top:-553;width:5936;height:1110;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1;width:1653;height:817;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ascii="Arial" w:hAnsi="Arial" w:cs="Arial"/>
      <w:b/>
      <w:sz w:val="20"/>
      <w:szCs w:val="20"/>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Pre-engagement/1.%20Client%20Acceptance%20&amp;%20Continuance/Acceptance%20Memo.docx" TargetMode="External"/><Relationship Id="rId3" Type="http://schemas.openxmlformats.org/officeDocument/2006/relationships/hyperlink" Target="../../../../../G:/My%20Drive/MZCO/Audit%20Manual/1.%20Planning/1-3%20Pre-engagement/1.%20Client%20Acceptance%20&amp;%20Continuance/Continuance%20Memo.docx" TargetMode="External"/><Relationship Id="rId4" Type="http://schemas.openxmlformats.org/officeDocument/2006/relationships/hyperlink" Target="../../../../../G:/My%20Drive/MZCO/Audit%20Manual/1.%20Planning/1-3%20Pre-engagement/1.%20Client%20Acceptance%20&amp;%20Continuance/Acceptance%20Memo.docx" TargetMode="External"/><Relationship Id="rId5" Type="http://schemas.openxmlformats.org/officeDocument/2006/relationships/hyperlink" Target="../../../../../G:/My%20Drive/MZCO/Audit%20Manual/1.%20Planning/1-3%20Pre-engagement/1.%20Client%20Acceptance%20&amp;%20Continuance/Continuance%20Memo.docx"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DEAFD-5C9D-44BF-8F52-1A8FB21D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LibreOffice/6.1.5.2$Linux_X86_64 LibreOffice_project/10$Build-2</Application>
  <Pages>1</Pages>
  <Words>208</Words>
  <Characters>1227</Characters>
  <CharactersWithSpaces>1402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2022-09-21T15:08:35Z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