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bookmarkStart w:id="0" w:name="__DdeLink__18962_3283385913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bookmarkEnd w:id="0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{client}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${start} - ${end}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${user}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${manager}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${partner}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spacing w:lineRule="auto" w:line="240" w:before="0" w:after="160"/>
        <w:jc w:val="both"/>
        <w:rPr>
          <w:rFonts w:ascii="Arial" w:hAnsi="Arial" w:eastAsia="Times New Roman" w:cs="Arial"/>
          <w:b/>
          <w:b/>
          <w:color w:val="auto"/>
          <w:sz w:val="24"/>
          <w:szCs w:val="24"/>
        </w:rPr>
      </w:pPr>
      <w:r>
        <w:rPr>
          <w:rFonts w:eastAsia="Times New Roman" w:cs="Arial" w:ascii="Arial" w:hAnsi="Arial"/>
          <w:b/>
          <w:color w:val="auto"/>
          <w:sz w:val="24"/>
          <w:szCs w:val="24"/>
        </w:rPr>
        <w:t>Guidance (click to expand):</w:t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This template is designed to serve as a documentation template for </w:t>
      </w:r>
      <w:bookmarkStart w:id="1" w:name="_Perform_the_following"/>
      <w:bookmarkEnd w:id="1"/>
      <w:r>
        <w:rPr>
          <w:rFonts w:cs="Arial" w:ascii="Arial" w:hAnsi="Arial"/>
          <w:sz w:val="20"/>
          <w:szCs w:val="20"/>
        </w:rPr>
        <w:t xml:space="preserve">engagement team’s conclusion on preliminary assessments in respect of risk of material misstatements related to fraud; laws and regulations; accounting estimates; related parties and going concern. </w:t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Refer to the following ISAs for detailed guidance:</w:t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ISA 240 The Auditor's Responsibilities Relating to Fraud in an Audit of Financial Statements</w:t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ISA 250 (Revised) Consideration of Laws and Regulations in an Audit of Financial Statements</w:t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ISA 540 (Revised) Auditing Accounting Estimates and Related Disclosures</w:t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ISA 550 Related Parties</w:t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ISA 570 (Revised) Going Concern</w:t>
      </w:r>
    </w:p>
    <w:p>
      <w:pPr>
        <w:pStyle w:val="ListParagraph"/>
        <w:spacing w:lineRule="auto" w:line="240" w:before="240" w:after="160"/>
        <w:ind w:left="360" w:hanging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spacing w:lineRule="auto" w:line="240" w:before="0" w:after="160"/>
        <w:jc w:val="both"/>
        <w:rPr>
          <w:rFonts w:ascii="Arial" w:hAnsi="Arial" w:cs="Arial"/>
          <w:b/>
          <w:b/>
          <w:color w:val="auto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  <w:t>Concluding on Preliminary Assessments</w:t>
      </w:r>
    </w:p>
    <w:p>
      <w:pPr>
        <w:pStyle w:val="Normal"/>
        <w:spacing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240" w:after="16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Fraud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>Based on the audit evidence obtained throughout the audit, is the fraud risk factor checklist and risk assessment document still appropriate?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Yes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cs="Segoe UI Symbol" w:ascii="Segoe UI Symbol" w:hAnsi="Segoe UI Symbol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 (specify changes and update accordingly)</w:t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Has sufficient appropriate audit evidence regarding assessed risks of material misstatement due to fraud been obtained?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Yes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cs="Segoe UI Symbol" w:ascii="Segoe UI Symbol" w:hAnsi="Segoe UI Symbol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bookmarkStart w:id="2" w:name="_GoBack"/>
      <w:bookmarkEnd w:id="2"/>
      <w:r>
        <w:rPr>
          <w:rFonts w:eastAsia="Times New Roman" w:cs="Arial" w:ascii="Arial" w:hAnsi="Arial"/>
          <w:sz w:val="20"/>
          <w:szCs w:val="20"/>
        </w:rPr>
        <w:t>Document findings/conclusion:</w:t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880" w:leader="none"/>
                <w:tab w:val="right" w:pos="6840" w:leader="none"/>
                <w:tab w:val="left" w:pos="7200" w:leader="none"/>
                <w:tab w:val="right" w:pos="8460" w:leader="none"/>
              </w:tabs>
              <w:spacing w:lineRule="auto" w:line="240" w:before="0" w:after="0"/>
              <w:ind w:right="-80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There has been no indication of fraud and no fraud has been identified.  </w:t>
            </w:r>
          </w:p>
        </w:tc>
      </w:tr>
    </w:tbl>
    <w:p>
      <w:pPr>
        <w:pStyle w:val="Normal"/>
        <w:spacing w:before="240" w:after="16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</w:r>
    </w:p>
    <w:p>
      <w:pPr>
        <w:pStyle w:val="Normal"/>
        <w:spacing w:before="240" w:after="16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Laws and Regulations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>Based on the audit evidence obtained throughout the audit, is the understanding of regulatory factors and risk assessment document still appropriate?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Yes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cs="Segoe UI Symbol" w:ascii="Segoe UI Symbol" w:hAnsi="Segoe UI Symbol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 (specify changes and update accordingly)</w:t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Has sufficient appropriate audit evidence regarding</w:t>
      </w:r>
      <w:r>
        <w:rPr/>
        <w:t xml:space="preserve"> </w:t>
      </w:r>
      <w:r>
        <w:rPr>
          <w:rFonts w:cs="Arial" w:ascii="Arial" w:hAnsi="Arial"/>
          <w:sz w:val="20"/>
          <w:szCs w:val="20"/>
        </w:rPr>
        <w:t>compliance with the provisions of those laws and regulations generally recognized to have a direct effect on the determination of material amounts and disclosures in the financial statements been obtained and have procedures to identify instances of non-compliance with other laws and regulations that may have a material effect on the financial statements been performed?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Yes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cs="Segoe UI Symbol" w:ascii="Segoe UI Symbol" w:hAnsi="Segoe UI Symbol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Document findings/conclusion:</w:t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880" w:leader="none"/>
                <w:tab w:val="right" w:pos="6840" w:leader="none"/>
                <w:tab w:val="left" w:pos="7200" w:leader="none"/>
                <w:tab w:val="right" w:pos="8460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There has been no indication of non-compliance with laws and regulations and no non-compliance has been identified. </w:t>
            </w:r>
          </w:p>
        </w:tc>
      </w:tr>
    </w:tbl>
    <w:p>
      <w:pPr>
        <w:pStyle w:val="Normal"/>
        <w:spacing w:before="240" w:after="16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</w:r>
    </w:p>
    <w:p>
      <w:pPr>
        <w:pStyle w:val="Normal"/>
        <w:spacing w:before="240" w:after="16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Accounting Estimates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>Based on the audit evidence obtained throughout the audit, is the understanding of accounting estimates and risk assessment document still appropriate?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Yes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cs="Segoe UI Symbol" w:ascii="Segoe UI Symbol" w:hAnsi="Segoe UI Symbol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 (specify changes and update accordingly)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>Has sufficient appropriate audit evidence about the assessed risks of material misstatement associated with accounting estimates been obtained?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Yes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cs="Segoe UI Symbol" w:ascii="Segoe UI Symbol" w:hAnsi="Segoe UI Symbol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Document findings/conclusion:</w:t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880" w:leader="none"/>
                <w:tab w:val="right" w:pos="6840" w:leader="none"/>
                <w:tab w:val="left" w:pos="7200" w:leader="none"/>
                <w:tab w:val="right" w:pos="8460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Accounting estimates and related disclosures are reasonable in the context of the applicable financial reporting framework and no misstatements and management bias in relation to accounting estimates have been identified; and the financial statements with respect to accounting estimates achieve fair presentation/are not misleading.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cs="Arial" w:ascii="Arial" w:hAnsi="Arial"/>
          <w:sz w:val="20"/>
          <w:szCs w:val="20"/>
          <w:lang w:val="en-GB"/>
        </w:rPr>
      </w:r>
    </w:p>
    <w:p>
      <w:pPr>
        <w:pStyle w:val="Normal"/>
        <w:spacing w:before="240" w:after="16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Related Parties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>Based on the audit evidence obtained throughout the audit, is the list of related parties and risk assessment document still appropriate?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Yes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cs="Segoe UI Symbol" w:ascii="Segoe UI Symbol" w:hAnsi="Segoe UI Symbol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 (specify changes and update accordingly)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>Has sufficient appropriate audit evidence about the assessed risks of material misstatement associated with related party relationships and transactions been obtained?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Yes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cs="Segoe UI Symbol" w:ascii="Segoe UI Symbol" w:hAnsi="Segoe UI Symbol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Document findings/conclusion:</w:t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880" w:leader="none"/>
                <w:tab w:val="right" w:pos="6840" w:leader="none"/>
                <w:tab w:val="left" w:pos="7200" w:leader="none"/>
                <w:tab w:val="right" w:pos="8460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All related party relationships and transactions have been identified and appropriately accounted for and disclosed in accordance with the applicable financial reporting framework; and the financial statements with respect to related parties achieve fair presentation/are not misleading. 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cs="Arial" w:ascii="Arial" w:hAnsi="Arial"/>
          <w:sz w:val="20"/>
          <w:szCs w:val="20"/>
          <w:lang w:val="en-GB"/>
        </w:rPr>
      </w:r>
    </w:p>
    <w:p>
      <w:pPr>
        <w:pStyle w:val="Normal"/>
        <w:spacing w:before="240" w:after="16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Going Concern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>Based on the audit evidence obtained throughout the audit, is the going concern assessment and risk assessment document still appropriate?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Yes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cs="Segoe UI Symbol" w:ascii="Segoe UI Symbol" w:hAnsi="Segoe UI Symbol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 (specify changes and update accordingly)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Have events or conditions been identified that may cast significant doubt on the entity’s ability to continue as a going concern?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Yes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If yes, then document the audit procedures applied to determine whether or not a material uncertainty exists, including consideration of mitigating factors:</w:t>
      </w:r>
    </w:p>
    <w:tbl>
      <w:tblPr>
        <w:tblStyle w:val="TableGrid"/>
        <w:tblW w:w="92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5"/>
      </w:tblGrid>
      <w:tr>
        <w:trPr>
          <w:trHeight w:val="70" w:hRule="atLeast"/>
        </w:trPr>
        <w:tc>
          <w:tcPr>
            <w:tcW w:w="924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Is the management’s use of the going concern basis of accounting in the preparation of the financial statements appropriate?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Yes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Does a material uncertainty exist related to events or conditions that, individually or collectively, may cast significant</w:t>
      </w:r>
      <w:r>
        <w:rPr>
          <w:rFonts w:cs="Arial" w:ascii="Arial" w:hAnsi="Arial"/>
          <w:sz w:val="20"/>
          <w:szCs w:val="20"/>
        </w:rPr>
        <w:t xml:space="preserve"> doubt on the entity’s ability to continue as a going concern?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Not applicable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Yes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Has adequate disclosure of a material uncertainty been made in the financial statements?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Not applicable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Yes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Is management unwilling to make or extend its assessment when requested to do so?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Not applicable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Yes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Document implications for the audit report, if any:</w:t>
      </w:r>
    </w:p>
    <w:tbl>
      <w:tblPr>
        <w:tblStyle w:val="TableGrid"/>
        <w:tblW w:w="92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5"/>
      </w:tblGrid>
      <w:tr>
        <w:trPr>
          <w:trHeight w:val="80" w:hRule="atLeast"/>
        </w:trPr>
        <w:tc>
          <w:tcPr>
            <w:tcW w:w="924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Has there been a significant delay in the approval of the financial statements by management or those charged with governance after the date of the financial statements?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Yes (</w:t>
      </w:r>
      <w:r>
        <w:rPr>
          <w:rFonts w:eastAsia="Times New Roman" w:cs="Arial" w:ascii="Arial" w:hAnsi="Arial"/>
          <w:sz w:val="20"/>
          <w:szCs w:val="20"/>
        </w:rPr>
        <w:t>inquire and specify as to the reasons for the delay)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Is the delay believed to be related to events or conditions relating to the going concern assessment?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☒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Not applicable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 xml:space="preserve">Yes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Arial" w:ascii="MS Gothic" w:hAnsi="MS Gothic"/>
              <w:sz w:val="20"/>
              <w:szCs w:val="20"/>
            </w:rPr>
            <w:t>☐</w:t>
          </w:r>
        </w:sdtContent>
      </w:sdt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No</w:t>
      </w:r>
    </w:p>
    <w:p>
      <w:pPr>
        <w:pStyle w:val="Normal"/>
        <w:widowControl w:val="false"/>
        <w:spacing w:lineRule="auto" w:line="240" w:before="240" w:after="16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If yes, then document additional audit procedures applied as well as the effect on the conclusion regarding the existence of a material uncertainty:</w:t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880" w:leader="none"/>
                <w:tab w:val="right" w:pos="6840" w:leader="none"/>
                <w:tab w:val="left" w:pos="7200" w:leader="none"/>
                <w:tab w:val="right" w:pos="8460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lineRule="auto" w:line="240" w:before="24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72854918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4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5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-353060</wp:posOffset>
              </wp:positionV>
              <wp:extent cx="6529705" cy="706120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960" cy="705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8840" y="71640"/>
                          <a:ext cx="1050120" cy="519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pt;width:514.1pt;height:55.55pt" coordorigin="-461,-556" coordsize="10282,1111">
              <v:rect id="shape_0" fillcolor="white" stroked="f" style="position:absolute;left:-461;top:-556;width:5936;height:1110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round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7;top:-443;width:1653;height:817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5ed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8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55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b4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4355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4435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43559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d58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d580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c2b42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c2b4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e28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" w:cs="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ascii="Arial" w:hAnsi="Arial" w:cs="Symbol"/>
      <w:sz w:val="2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5615e"/>
    <w:pPr>
      <w:spacing w:lineRule="auto" w:line="252"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d58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d58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c2b4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BulletArial" w:customStyle="1">
    <w:name w:val="Table Bullet_Arial"/>
    <w:basedOn w:val="Normal"/>
    <w:uiPriority w:val="99"/>
    <w:qFormat/>
    <w:rsid w:val="0024138b"/>
    <w:pPr>
      <w:spacing w:lineRule="auto" w:line="240" w:before="60" w:after="60"/>
    </w:pPr>
    <w:rPr>
      <w:rFonts w:ascii="Arial" w:hAnsi="Arial" w:eastAsia="Times New Roman" w:cs="Arial"/>
      <w:color w:val="000000" w:themeColor="text1"/>
      <w:sz w:val="20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85e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8E392-3E02-44A4-8B07-2AAE14AE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Application>LibreOffice/6.1.5.2$Linux_X86_64 LibreOffice_project/10$Build-2</Application>
  <Pages>4</Pages>
  <Words>781</Words>
  <Characters>4422</Characters>
  <CharactersWithSpaces>5150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2022-06-26T20:12:00Z</dcterms:created>
  <dc:creator>Maham Moin</dc:creator>
  <dc:description/>
  <dc:language>en-US</dc:language>
  <cp:lastModifiedBy/>
  <dcterms:modified xsi:type="dcterms:W3CDTF">2022-10-04T15:16:49Z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