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Contingencies and Commitments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contingencies and commitments.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39"/>
        <w:gridCol w:w="1495"/>
        <w:gridCol w:w="1174"/>
        <w:gridCol w:w="1177"/>
        <w:gridCol w:w="1175"/>
      </w:tblGrid>
      <w:tr>
        <w:trPr>
          <w:trHeight w:val="20" w:hRule="atLeast"/>
        </w:trPr>
        <w:tc>
          <w:tcPr>
            <w:tcW w:w="7939"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49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526"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39"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49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174"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177"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175"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3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contingent liabilities disclosed by the management includes all contingencies wherein it is not yet confirmed whether the entity has a present obligation that could lead to outflow of economic benefits or the amounts of which cannot be measured with sufficient reliability or the existence of which will be confirmed only by the occurrence of one or more uncertain future events not wholly within the control of the entity and that these are adequately classified and disclosed.</w:t>
            </w:r>
          </w:p>
        </w:tc>
        <w:tc>
          <w:tcPr>
            <w:tcW w:w="149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Completeness</w:t>
            </w:r>
          </w:p>
        </w:tc>
        <w:tc>
          <w:tcPr>
            <w:tcW w:w="11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commitments disclosed by the management includes all the future commitments embodying outflow of economic benefits against committed transactions.</w:t>
            </w:r>
          </w:p>
        </w:tc>
        <w:tc>
          <w:tcPr>
            <w:tcW w:w="149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Completeness</w:t>
            </w:r>
          </w:p>
        </w:tc>
        <w:tc>
          <w:tcPr>
            <w:tcW w:w="11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Contingencies and commitments are presented and all disclosures have been given in accordance with the Fourth/Fifth Schedules of the Companies Act, 2017 and relevant IAS/IFRS.</w:t>
            </w:r>
          </w:p>
        </w:tc>
        <w:tc>
          <w:tcPr>
            <w:tcW w:w="149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17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66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352"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39"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669"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669"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669"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documentation of contingencies and commitments has been maintained and the same is updated on prompt and consistent basis.</w:t>
            </w:r>
          </w:p>
        </w:tc>
        <w:tc>
          <w:tcPr>
            <w:tcW w:w="2669"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669"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669"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669"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contingencies and commitments appearing in last year’s accounts and inquire about the status this year.</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of and discuss with management the client’s policies and procedures for identifying, evaluating, and accounting for and disclosing contingencies, including those resulting from litigation and claims. The inquiry should consider addressing oral arrangements, such as an oral guarantee for the debt of others, as well as written arrangements.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of and discuss with management the client’s policies and procedures for identifying, evaluating, and accounting for and disclosing commitments.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Circularize direct confirmation to all legal advisers for confirmation and evaluation of the litigation and claims that existed at the balance sheet date and during the period from the balance sheet date to the date the information is provided to the auditors.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the results of procedures performed in other accounts including 100% vouching of legal expense accounts.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Read the minutes of corporate meetings (e.g., shareholders, board of directors, and relevant committees of the board) held during the period being examined and through to the date of the auditor’s report.</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documents, including correspondence and invoices from lawyers, in the client’s possession concerning litigation, claims and unasserted claims.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and evaluate letters from legal advisors.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Search for legal cases of the client on website of Sindh High Court, Supreme Court etc. </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significant contracts, loan agreements, leases, service guarantees, insurance policies (or note the lack of insurance), and other applicable to sales, purchases or lease contracts.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through inquiry and review of sales and/or lease agreements, polices in effect with respect to returns, repurchases, and future allowances applicable to sales or leases.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through inquiry and review of minutes, contracts/agreements, and bank confirmations, accounting and operating policies in effect with respect to interest rate and foreign currency futures/hedges.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bank confirmations</w:t>
              <w:tab/>
              <w:t xml:space="preserve"> for contingent liabilities, letters of credit, and compensating balance arrangements.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as to material commitments to complete sales contracts at a loss.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as to any commitments to repurchase assets previously sold; purchase quantities in excess of requirements or at prices in excess of prevailing market prices; construct or acquire property, plant, equipment, investments, investments, intangibles, or other non-current assets.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Refer capital commitments relating to long-term projects from capital work in progress.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Refer minutes of meeting of Board of Directors for potential capital commitments.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Refer unfulfilled purchase orders relating to capital expenditure for potential capital commitments.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cost and progress estimation procedures for long term projects.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Where some or all of the expenditure required to settle a contingent liability is expected to be reimbursed by another party, ensure that the reimbursement should be disclosed when, and only when, it is virtually certain that the reimbursement will be received if the enterprise settles the potential obligation.</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Evaluate the possibility of subsequent events, to ensure that there is no unrecorded contingency.</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professional opinion of the tax consultant of the entity so as to assure the degree and extent of exposure.</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Refer to the tax working papers, particularly tax position schedule in order to identify any potential contingent liability.</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from client any reports/details of sales tax audits/income tax audits.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from client any notices of demand/show cause notices served during the period/subsequent to year-end.</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Prepare summary of bank guarantees/ LCs etc. in accordance with the confirmations received from banks.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the bank guarantee letters/agreements.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returned standard bank confirmations forms and any other returned confirmations of bank credit arrangements for contingent liabilities, letters of credit, and compensating balance arrangements.</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Ascertain whether any bank guarantee also constitutes/reveals a contingency.</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the client’s representation regarding contingencies &amp; commitments as part of the financial statement representation letter.</w:t>
            </w:r>
          </w:p>
        </w:tc>
        <w:tc>
          <w:tcPr>
            <w:tcW w:w="2669"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39"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669"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39"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disclosures with last year disclosures and ensure that any significant variation should be properly and logically reasoned.</w:t>
            </w:r>
          </w:p>
        </w:tc>
        <w:tc>
          <w:tcPr>
            <w:tcW w:w="2669"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352"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064730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-350520</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028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pt;width:636.9pt;height:55.5pt" coordorigin="111,-552" coordsize="12738,1110">
              <v:rect id="shape_0" ID="Text Box 2" fillcolor="white" stroked="f" style="position:absolute;left:111;top:-552;width:7354;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0;width:2050;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spacing w:val="-1"/>
      <w:w w:val="99"/>
      <w:sz w:val="22"/>
      <w:szCs w:val="22"/>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eastAsia="Arial" w:cs="Arial"/>
      <w:b/>
      <w:bCs/>
      <w:w w:val="103"/>
      <w:sz w:val="20"/>
      <w:szCs w:val="20"/>
      <w:lang w:val="en-US" w:eastAsia="en-US" w:bidi="ar-SA"/>
    </w:rPr>
  </w:style>
  <w:style w:type="character" w:styleId="ListLabel56">
    <w:name w:val="ListLabel 56"/>
    <w:qFormat/>
    <w:rPr>
      <w:rFonts w:eastAsia="Arial" w:cs="Arial"/>
      <w:b/>
      <w:bCs/>
      <w:w w:val="103"/>
      <w:sz w:val="20"/>
      <w:szCs w:val="20"/>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1B4E-2BC2-44EE-ADD1-CD752633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Application>LibreOffice/6.1.5.2$Linux_X86_64 LibreOffice_project/10$Build-2</Application>
  <Pages>6</Pages>
  <Words>1161</Words>
  <Characters>6790</Characters>
  <CharactersWithSpaces>7831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2022-09-21T16:04:28Z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