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Cost of Sales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cost of sales.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8"/>
        <w:gridCol w:w="1340"/>
        <w:gridCol w:w="1213"/>
        <w:gridCol w:w="1218"/>
        <w:gridCol w:w="1211"/>
      </w:tblGrid>
      <w:tr>
        <w:trPr>
          <w:trHeight w:val="20" w:hRule="atLeast"/>
        </w:trPr>
        <w:tc>
          <w:tcPr>
            <w:tcW w:w="7978"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0"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8"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0"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Cost of sales are completely and accurately recorded.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cost of sales actually occurred during the year.</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Cost of sales are recorded in the correct period and there are no cut-off issues.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Cost of sales have been appropriately classified.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Cost of sales are presented and all disclosures have been given in accordance with the Fourth/Fifth Schedules of the Companies Act, 2017 and relevant IAS/IFRS.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3"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3"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access to purchases system is restricted by user ID and password.</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segregation of duties between purchase authorizing and approving and accounting personnel exist.</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cost of sales for the year. Check casting and computation of the same.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a predictive test of cost of sales by product line, division or other business segment by reference to details of units shipped and average unit costs. Investigate significant variances between the predicted and recorded amounts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Expand the vouching test of revenue transactions to also test the related cost of sales transactions by tracing the unit costs used to relieve inventory to cost records tested in the audit of inventory.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Cross-reference the overhead and variance accounts to the analytical reviews performed in conjunction with the audit of standard inventory costs.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Cross-reference provisions for depreciation, impairment and amortization included in cost of sales to the tests performed in the audit of fixed assets.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sequential numbering of the vouchers to ensure none are missing.</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77" w:hRule="atLeast"/>
        </w:trPr>
        <w:tc>
          <w:tcPr>
            <w:tcW w:w="7978" w:type="dxa"/>
            <w:tcBorders/>
            <w:shd w:fill="auto" w:val="clear"/>
          </w:tcPr>
          <w:p>
            <w:pPr>
              <w:pStyle w:val="ListParagraph"/>
              <w:numPr>
                <w:ilvl w:val="0"/>
                <w:numId w:val="3"/>
              </w:numPr>
              <w:spacing w:lineRule="auto" w:line="240" w:beforeAutospacing="1" w:after="0"/>
              <w:jc w:val="both"/>
              <w:rPr>
                <w:rFonts w:ascii="Cambria" w:hAnsi="Cambria"/>
              </w:rPr>
            </w:pPr>
            <w:r>
              <w:rPr>
                <w:rFonts w:cs="Arial" w:ascii="Arial" w:hAnsi="Arial"/>
                <w:sz w:val="20"/>
                <w:szCs w:val="20"/>
              </w:rPr>
              <w:t xml:space="preserve">Scan general ledger of purchases and investigate large and unusual items and purchases incurred.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purchases, examine proper supporting documents e.g. purchase/supply agreements and investigate any significant matter identified.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the accounting policies and methods of recognition are appropriate and are applied consistently.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significant purchase returns</w:t>
            </w:r>
            <w:bookmarkStart w:id="1" w:name="_GoBack"/>
            <w:bookmarkEnd w:id="1"/>
            <w:r>
              <w:rPr>
                <w:rFonts w:cs="Arial" w:ascii="Arial" w:hAnsi="Arial"/>
                <w:sz w:val="20"/>
                <w:szCs w:val="20"/>
              </w:rPr>
              <w:t xml:space="preserve"> during the period as well as subsequent to the balance sheet date to determine whether they were properly authorized and approved, evidenced by shipping documents and original purchase invoices and recorded in the proper period.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320" w:hRule="atLeast"/>
        </w:trPr>
        <w:tc>
          <w:tcPr>
            <w:tcW w:w="7978"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For selected purchases, perform the following: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Check that the purchases were authorized and approved by appropriate person.</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that the purchases have supports attached.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invoices that they were charged in the client’s name and record other details e.g. invoice number, party, date, amount etc.</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the prices charged by vendor are as per approved price lists or quotations.</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whether goods/services were actually received by reviewing signatures on invoices by relevant department, release of payment orders, GRN etc.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that tax is deducted at source, unless exempted, in accordance with Income Tax Ordinance, 2001.</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Vouch payments made by reviewing cheques and record other details e.g. cheque number, bank, date, amount etc.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accuracy of the amounts recorded as expense by tracing it to the invoices and the payments made.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that purchases recorded pertain to the current year end.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Ensure that purchases have been appropriately classified to cost of sales.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bCs/>
                <w:sz w:val="20"/>
                <w:szCs w:val="20"/>
              </w:rPr>
              <w:t>Check that the policy for the allocation of overhead costs is consistent with prior years. Further, reconcile the value of stock consumed during the year.</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all purchases in foreign currencies are translated using exchange rate prevailing at the date of sale (a rate that approximates the actual rate for example, weekly/monthly average is also acceptable).</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predictive tests based on the agreed/average prices and received quantity.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bCs/>
                <w:sz w:val="20"/>
                <w:szCs w:val="20"/>
              </w:rPr>
              <w:t>For selected purchases, prepare purchase reconciliation with respective supplier’s statements.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bCs/>
                <w:sz w:val="20"/>
                <w:szCs w:val="20"/>
              </w:rPr>
            </w:pPr>
            <w:r>
              <w:rPr>
                <w:rFonts w:cs="Arial" w:ascii="Arial" w:hAnsi="Arial"/>
                <w:bCs/>
                <w:sz w:val="20"/>
                <w:szCs w:val="20"/>
              </w:rPr>
              <w:t>Perform cut-off testing for purchases.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Select significant accounting estimates for testing:</w:t>
            </w:r>
          </w:p>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8"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expenses with last year expenses and ensure that any significant variation should be properly and logically reasoned.</w:t>
            </w:r>
          </w:p>
        </w:tc>
        <w:tc>
          <w:tcPr>
            <w:tcW w:w="2553"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Cambria">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460194"/>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w w:val="103"/>
      <w:sz w:val="20"/>
      <w:szCs w:val="20"/>
      <w:lang w:val="en-US" w:eastAsia="en-US" w:bidi="ar-SA"/>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78E78-5089-4A68-A4FA-2A580327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Application>LibreOffice/6.1.5.2$Linux_X86_64 LibreOffice_project/10$Build-2</Application>
  <Pages>6</Pages>
  <Words>1447</Words>
  <Characters>8122</Characters>
  <CharactersWithSpaces>9425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2022-09-21T16:04:58Z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