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Deferred Liabilities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deferred liabilities.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00"/>
        <w:gridCol w:w="1252"/>
        <w:gridCol w:w="1233"/>
        <w:gridCol w:w="1239"/>
        <w:gridCol w:w="1236"/>
      </w:tblGrid>
      <w:tr>
        <w:trPr>
          <w:trHeight w:val="20" w:hRule="atLeast"/>
        </w:trPr>
        <w:tc>
          <w:tcPr>
            <w:tcW w:w="8000"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52"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708"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8000"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52"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3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9"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36"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Deferred liabilities are completely (entire liability against deferred liabilities is accounted for) and accurately recorded.</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CAK</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deferred liabilities actually exist.</w:t>
            </w:r>
          </w:p>
        </w:tc>
        <w:tc>
          <w:tcPr>
            <w:tcW w:w="1252" w:type="dxa"/>
            <w:tcBorders/>
            <w:shd w:fill="auto" w:val="clear"/>
          </w:tcPr>
          <w:p>
            <w:pPr>
              <w:pStyle w:val="TableParagraph"/>
              <w:spacing w:lineRule="exact" w:line="230" w:before="0" w:after="0"/>
              <w:jc w:val="center"/>
              <w:rPr>
                <w:rFonts w:ascii="Arial" w:hAnsi="Arial" w:cs="Arial"/>
                <w:sz w:val="20"/>
                <w:szCs w:val="20"/>
              </w:rPr>
            </w:pPr>
            <w:r>
              <w:rPr>
                <w:rFonts w:cs="Arial" w:ascii="Arial" w:hAnsi="Arial"/>
                <w:w w:val="99"/>
                <w:sz w:val="20"/>
                <w:szCs w:val="20"/>
              </w:rPr>
              <w:t>E</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Deferred liabilities recorded represent obligations of the entity i.e. amount owed by the client to tax authorities, employees and/or other parties.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R</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Deferred liabilities are recorded at appropriate values.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V</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Related expense/provision/reversal has been appropriately accounted for and disclosed. </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OCATL</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Deferred liabilities are presented and all disclosures have been given in accordance with the Fourth/Fifth Schedules of the Companies Act, 2017 and relevant IAS/IFRS.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OCALRVU</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48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7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85"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deferred liabilities trial balance/ movement schedule. Test the summarization and the reconciliation of the total to the general ledger. Trace significant reconciling items, if any, to supporting documents.</w:t>
            </w:r>
          </w:p>
        </w:tc>
        <w:tc>
          <w:tcPr>
            <w:tcW w:w="2485"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Trace opening balances from deferred liabilities’ subsidiary records, general ledger and last year’s working papers.</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Inquire about or review the information in prior year working papers concerning the nature of each deferred liability and the policies and procedures used to account for them. Determine whether the accounting treatment is correct and applied consistently.</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99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For deferred liability regarding gratuity perform the following:</w:t>
            </w:r>
          </w:p>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Obtain copy of client’s policy regarding staff gratuity.</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Verify the last salaries drawn by selected employees from payroll or salary sheet.</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Verify the date of appointment from employee personal files.</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Check the calculation of number of years completed from date of appointment to date of the balance sheet.</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Check the calculation of gratuity for the year.</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Verify the payments of the gratuity to staff retired during the year from the client’s policy and bank statements.</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For unfunded gratuity schemes, obtain the latest actuarial valuation from the actuary and review whether the assumption and data used in actuarial report are appropriate and reasonable.</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Check other requirements as per IAS 19.</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For deferred liability regarding pension perform the following:</w:t>
            </w:r>
          </w:p>
          <w:p>
            <w:pPr>
              <w:pStyle w:val="ListParagraph"/>
              <w:numPr>
                <w:ilvl w:val="0"/>
                <w:numId w:val="12"/>
              </w:numPr>
              <w:spacing w:lineRule="auto" w:line="240" w:beforeAutospacing="1" w:after="160"/>
              <w:jc w:val="both"/>
              <w:rPr>
                <w:rFonts w:ascii="Arial" w:hAnsi="Arial" w:cs="Arial"/>
                <w:sz w:val="20"/>
                <w:szCs w:val="20"/>
              </w:rPr>
            </w:pPr>
            <w:r>
              <w:rPr>
                <w:rFonts w:cs="Arial" w:ascii="Arial" w:hAnsi="Arial"/>
                <w:sz w:val="20"/>
                <w:szCs w:val="20"/>
              </w:rPr>
              <w:t>Obtain copy of client’s policy regarding staff pension.</w:t>
            </w:r>
          </w:p>
          <w:p>
            <w:pPr>
              <w:pStyle w:val="ListParagraph"/>
              <w:numPr>
                <w:ilvl w:val="0"/>
                <w:numId w:val="12"/>
              </w:numPr>
              <w:spacing w:lineRule="auto" w:line="240" w:before="0" w:after="160"/>
              <w:jc w:val="both"/>
              <w:rPr>
                <w:rFonts w:ascii="Arial" w:hAnsi="Arial" w:cs="Arial"/>
                <w:sz w:val="20"/>
                <w:szCs w:val="20"/>
              </w:rPr>
            </w:pPr>
            <w:r>
              <w:rPr>
                <w:rFonts w:cs="Arial" w:ascii="Arial" w:hAnsi="Arial"/>
                <w:sz w:val="20"/>
                <w:szCs w:val="20"/>
              </w:rPr>
              <w:t xml:space="preserve">For funded pension plans, check payment of contribution of client towards fund according to the fund’s rules. </w:t>
            </w:r>
          </w:p>
          <w:p>
            <w:pPr>
              <w:pStyle w:val="ListParagraph"/>
              <w:numPr>
                <w:ilvl w:val="0"/>
                <w:numId w:val="12"/>
              </w:numPr>
              <w:spacing w:lineRule="auto" w:line="240" w:before="0" w:after="160"/>
              <w:jc w:val="both"/>
              <w:rPr>
                <w:rFonts w:ascii="Arial" w:hAnsi="Arial" w:cs="Arial"/>
                <w:sz w:val="20"/>
                <w:szCs w:val="20"/>
              </w:rPr>
            </w:pPr>
            <w:r>
              <w:rPr>
                <w:rFonts w:cs="Arial" w:ascii="Arial" w:hAnsi="Arial"/>
                <w:sz w:val="20"/>
                <w:szCs w:val="20"/>
              </w:rPr>
              <w:t>For unfunded pension plans, verify provisions for deferred liability in light of actuarial valuations.</w:t>
            </w:r>
          </w:p>
          <w:p>
            <w:pPr>
              <w:pStyle w:val="ListParagraph"/>
              <w:numPr>
                <w:ilvl w:val="0"/>
                <w:numId w:val="12"/>
              </w:numPr>
              <w:spacing w:lineRule="auto" w:line="240" w:before="0" w:after="160"/>
              <w:jc w:val="both"/>
              <w:rPr>
                <w:rFonts w:ascii="Arial" w:hAnsi="Arial" w:cs="Arial"/>
                <w:sz w:val="20"/>
                <w:szCs w:val="20"/>
              </w:rPr>
            </w:pPr>
            <w:r>
              <w:rPr>
                <w:rFonts w:cs="Arial" w:ascii="Arial" w:hAnsi="Arial"/>
                <w:sz w:val="20"/>
                <w:szCs w:val="20"/>
              </w:rPr>
              <w:t>Check other requirements as per IAS 19.</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a deferred tax working schedule from the client along with related disclosures for current and prior periods.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schedule of temporary differences at balance sheet date along with working and supporting details.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schedule of tax base of each component of balance sheet along with working and supporting details.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and ensure the consistency and adequacy of method used.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and test the cumulative temporary differences as of the balance sheet date.</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the scheduled reversals of cumulative temporary differences and determine whether all identified temporary differences have been scheduled in a reasonable manner that is consistent with information obtained in other audit areas.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management's representations regarding scheduled reversals, if appropriate.</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Test the computation of deferred tax liabilities/assets by applying appropriate provisions of enacted tax law to scheduled reversals particularly the tax rates applicable at the time of expected reversals</w:t>
            </w:r>
            <w:r>
              <w:rPr>
                <w:w w:val="105"/>
                <w:sz w:val="20"/>
              </w:rPr>
              <w:t>.</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Review the client's tax-planning strategies that affect the recorded amounts of deferred taxes under the liability method and determine that all valid strategies that could materially affect deferred taxes have been identified and accounted for.</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If appropriate, obtain management's representations as to their ability and intent to implement the strategy if necessary.</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deferred tax asset recognizing tax saving is not required to be set up if a reasonable estimate of turnover/profits for foreseeable future cannot be made.</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Deferred tax asset should not be accounted for unless it can be ensured with reasonable surety that future “tax profits” will be available for realization of such assets and the management will be able to plan its tax strategies in a manner to obtain benefit of such assets. [Note: Such future income should be enough to cover the future deferred tax assets (deductible temporary differences) first and any remaining future income should be applied to assess the realisability of deferred tax assets.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Calculate taxable and deductible timing differences.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Apply appropriate rate of taxation on total of reversible timing differences as per IAS 12, all timing differences whether reversing in the foreseeable future or not, are required to be incorporated into the accounts.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proper amount has been taken in profit and loss account (or where applicable outside the profit and loss account) by taking difference of opening and closing balance of deferred tax liability.</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proper allocation of non-current and current balances based upon work performed in testing the deferred tax provision/credit.</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Ensure that closing balances as per our working papers are in match with the general ledger.</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Select significant accounting estimates for testing:</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 xml:space="preserve">Those that are subject to high estimation uncertainty; and </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 xml:space="preserve">Those that are based on methods, assumptions and data and selection of management’s point estimate and related disclosures for inclusion in the financial statements affected by high complexity, subjectivity, or other inherent risk factors. </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 xml:space="preserve">Perform a retrospective review of significant accounting estimates reflected in the financial statements of the prior year to review the outcome of accounting estimates included in prior period financial statements or, their subsequent re-estimation for the purpose of the current period. </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the results of this retrospective review in evaluating the current year estimates. If we identify a possible bias on the part of management in making prior year accounting estimates, we should evaluate whether circumstances producing such a bias represent a risk of a material misstatement due to fraud.</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rPr>
              <w:t>Consider whether differences between estimates best supported by the audit evidence and the estimates included in the financial statements, even if they are individually reasonable, indicate a</w:t>
            </w:r>
            <w:bookmarkStart w:id="1" w:name="_GoBack"/>
            <w:bookmarkEnd w:id="1"/>
            <w:r>
              <w:rPr>
                <w:rFonts w:cs="Arial" w:ascii="Arial" w:hAnsi="Arial"/>
                <w:sz w:val="20"/>
              </w:rPr>
              <w:t xml:space="preserve"> possible bias on the part of the management. If so, reconsider estimates taken as a whole.</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8000"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balances with last year balances and ensure that any significant variation should be properly and logically reasoned.</w:t>
            </w:r>
          </w:p>
        </w:tc>
        <w:tc>
          <w:tcPr>
            <w:tcW w:w="2485"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income tax expense with last year and assess whether variance is consistent with change in profits after taking into account any changes in income tax rates.</w:t>
            </w:r>
          </w:p>
        </w:tc>
        <w:tc>
          <w:tcPr>
            <w:tcW w:w="2485"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5829853"/>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8</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9" wp14:anchorId="1699B376">
              <wp:simplePos x="0" y="0"/>
              <wp:positionH relativeFrom="margin">
                <wp:align>center</wp:align>
              </wp:positionH>
              <wp:positionV relativeFrom="paragraph">
                <wp:posOffset>-350520</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028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pt;width:636.9pt;height:55.5pt" coordorigin="111,-552" coordsize="12738,1110">
              <v:rect id="shape_0" ID="Text Box 2" fillcolor="white" stroked="f" style="position:absolute;left:111;top:-552;width:7354;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0;width:2050;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eastAsia="Arial MT" w:cs="Arial MT"/>
      <w:w w:val="99"/>
      <w:sz w:val="22"/>
      <w:szCs w:val="22"/>
      <w:lang w:val="en-US" w:eastAsia="en-US" w:bidi="ar-SA"/>
    </w:rPr>
  </w:style>
  <w:style w:type="character" w:styleId="ListLabel2">
    <w:name w:val="ListLabel 2"/>
    <w:qFormat/>
    <w:rPr>
      <w:rFonts w:eastAsia="Arial MT" w:cs="Arial MT"/>
      <w:spacing w:val="-1"/>
      <w:w w:val="99"/>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Wingdings" w:cs="Wingdings"/>
      <w:w w:val="99"/>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18"/>
      <w:szCs w:val="18"/>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Verdana"/>
      <w:sz w:val="1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Arial"/>
      <w:sz w:val="20"/>
    </w:rPr>
  </w:style>
  <w:style w:type="character" w:styleId="ListLabel42">
    <w:name w:val="ListLabel 42"/>
    <w:qFormat/>
    <w:rPr>
      <w:rFonts w:cs="Arial"/>
      <w:sz w:val="20"/>
    </w:rPr>
  </w:style>
  <w:style w:type="character" w:styleId="ListLabel43">
    <w:name w:val="ListLabel 43"/>
    <w:qFormat/>
    <w:rPr>
      <w:rFonts w:cs="Arial"/>
      <w:sz w:val="20"/>
    </w:rPr>
  </w:style>
  <w:style w:type="character" w:styleId="ListLabel44">
    <w:name w:val="ListLabel 44"/>
    <w:qFormat/>
    <w:rPr>
      <w:rFonts w:cs="Arial"/>
      <w:sz w:val="20"/>
    </w:rPr>
  </w:style>
  <w:style w:type="character" w:styleId="ListLabel45">
    <w:name w:val="ListLabel 45"/>
    <w:qFormat/>
    <w:rPr>
      <w:rFonts w:cs="Arial"/>
      <w:sz w:val="20"/>
    </w:rPr>
  </w:style>
  <w:style w:type="character" w:styleId="ListLabel46">
    <w:name w:val="ListLabel 46"/>
    <w:qFormat/>
    <w:rPr>
      <w:rFonts w:eastAsia="Arial MT" w:cs="Arial MT"/>
      <w:spacing w:val="-1"/>
      <w:w w:val="99"/>
      <w:sz w:val="22"/>
      <w:szCs w:val="22"/>
      <w:lang w:val="en-US" w:eastAsia="en-US" w:bidi="ar-SA"/>
    </w:rPr>
  </w:style>
  <w:style w:type="character" w:styleId="ListLabel47">
    <w:name w:val="ListLabel 47"/>
    <w:qFormat/>
    <w:rPr>
      <w:lang w:val="en-US" w:eastAsia="en-US" w:bidi="ar-SA"/>
    </w:rPr>
  </w:style>
  <w:style w:type="character" w:styleId="ListLabel48">
    <w:name w:val="ListLabel 48"/>
    <w:qFormat/>
    <w:rPr>
      <w:lang w:val="en-US" w:eastAsia="en-US" w:bidi="ar-SA"/>
    </w:rPr>
  </w:style>
  <w:style w:type="character" w:styleId="ListLabel49">
    <w:name w:val="ListLabel 49"/>
    <w:qFormat/>
    <w:rPr>
      <w:lang w:val="en-US" w:eastAsia="en-US" w:bidi="ar-SA"/>
    </w:rPr>
  </w:style>
  <w:style w:type="character" w:styleId="ListLabel50">
    <w:name w:val="ListLabel 50"/>
    <w:qFormat/>
    <w:rPr>
      <w:lang w:val="en-US" w:eastAsia="en-US" w:bidi="ar-SA"/>
    </w:rPr>
  </w:style>
  <w:style w:type="character" w:styleId="ListLabel51">
    <w:name w:val="ListLabel 51"/>
    <w:qFormat/>
    <w:rPr>
      <w:lang w:val="en-US" w:eastAsia="en-US" w:bidi="ar-SA"/>
    </w:rPr>
  </w:style>
  <w:style w:type="character" w:styleId="ListLabel52">
    <w:name w:val="ListLabel 52"/>
    <w:qFormat/>
    <w:rPr>
      <w:lang w:val="en-US" w:eastAsia="en-US" w:bidi="ar-SA"/>
    </w:rPr>
  </w:style>
  <w:style w:type="character" w:styleId="ListLabel53">
    <w:name w:val="ListLabel 53"/>
    <w:qFormat/>
    <w:rPr>
      <w:lang w:val="en-US" w:eastAsia="en-US" w:bidi="ar-SA"/>
    </w:rPr>
  </w:style>
  <w:style w:type="character" w:styleId="ListLabel54">
    <w:name w:val="ListLabel 54"/>
    <w:qFormat/>
    <w:rPr>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3DA5C-B7E5-4117-B0C2-5C666191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2071</TotalTime>
  <Application>LibreOffice/6.1.5.2$Linux_X86_64 LibreOffice_project/10$Build-2</Application>
  <Pages>8</Pages>
  <Words>1679</Words>
  <Characters>9629</Characters>
  <CharactersWithSpaces>11139</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2022-09-21T16:06:33Z</dcterms:modified>
  <cp:revision>333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