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*Entity’s Use of Management’s Expert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/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  <w:bookmarkStart w:id="1" w:name="_GoBack"/>
      <w:bookmarkStart w:id="2" w:name="_GoBack"/>
      <w:bookmarkEnd w:id="2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60"/>
        <w:gridCol w:w="1799"/>
        <w:gridCol w:w="1801"/>
      </w:tblGrid>
      <w:tr>
        <w:trPr>
          <w:trHeight w:val="20" w:hRule="atLeast"/>
        </w:trPr>
        <w:tc>
          <w:tcPr>
            <w:tcW w:w="576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80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>
          <w:trHeight w:val="20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determined whether a management’s expert was used by the entity to assist in preparing the financial statements and whether information to be used as audit evidence has been prepared using the work of a management’s expert. 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Planning Memorandum.docx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Style w:val="InternetLink"/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448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team, to the extent necessary, having regard to the significance of the management expert’s work: 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Evaluated the competence, capabilities and objectivity of that expert; and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Obtained an understanding of the work of that expert; 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Evaluated the appropriateness of that expert’s work as audit evidence for the relevant assertion.</w:t>
            </w:r>
          </w:p>
        </w:tc>
        <w:tc>
          <w:tcPr>
            <w:tcW w:w="179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Other Specific Considerations.docx</w:t>
              </w:r>
            </w:hyperlink>
          </w:p>
        </w:tc>
        <w:tc>
          <w:tcPr>
            <w:tcW w:w="1801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considered whether an auditor's internal expert or a specialist in accounting and auditing is required in order to assist with understanding the management's expert's field of expertise or with evaluating the appropriateness of the management's expert's work.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208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evaluated the engagement letter or agreement between the entity and the management’s expert to understand: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nature, scope and objectives of the expert's work;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respective roles and responsibilities of management and the expert; and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nature, timing and extent of communication between management and the expert, including the form of any report to be provided by the expert.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00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evaluated the appropriateness of the management expert's work as audit evidence for the relevant assertion, including: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 and reasonableness of the expert's findings or conclusions, their consistency with other audit evidence, and whether they have been appropriately reflected in the financial statements;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 and reasonableness of any significant assumptions and methods used in the circumstances;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relevance, completeness, and accuracy of any significant source data used.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5210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 considered the following matters in determining the nature, timing and extent of procedures in relation to the above: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 and complexity of the matter to which the management’s expert relates.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risks of material misstatement in the matter.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availability of alternative sources of audit evidence.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nature, scope and objectives of the management’s expert’s work.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Whether the management’s expert is employed by the entity, or is a party engaged by it to provide relevant services.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extent to which management can exercise control or influence over the work of the management’s expert.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Whether the management’s expert is subject to technical performance standards or other professional or industry requirements.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nature and extent of any controls within the entity over the management’s expert’s work.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engagement team’s knowledge and experience of the management’s expert’s field of expertise.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team’s previous experience of the work of that expert.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appropriately documented matters related to the entity’s use of management’s expert as explained above.</w:t>
            </w:r>
          </w:p>
        </w:tc>
        <w:tc>
          <w:tcPr>
            <w:tcW w:w="179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01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7710797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2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00a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0a58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ascii="Arial" w:hAnsi="Arial" w:cs="Arial"/>
      <w:b/>
      <w:sz w:val="20"/>
      <w:szCs w:val="20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00a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0a5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6ea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4%20Planning%20Process/Planning%20Memorandum.docx" TargetMode="External"/><Relationship Id="rId3" Type="http://schemas.openxmlformats.org/officeDocument/2006/relationships/hyperlink" Target="../../../../../G:/My%20Drive/MZCO/Audit%20Manual/1.%20Planning/17-20%20Other%20Specific%20Considerations/Other%20Specific%20Considerations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D3F5-C5E3-45E9-9A47-9F481659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Application>LibreOffice/6.1.5.2$Linux_X86_64 LibreOffice_project/10$Build-2</Application>
  <Pages>2</Pages>
  <Words>499</Words>
  <Characters>2808</Characters>
  <CharactersWithSpaces>3247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2022-09-21T15:29:21Z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