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Equity</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equity.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6"/>
        <w:gridCol w:w="1275"/>
        <w:gridCol w:w="1229"/>
        <w:gridCol w:w="1233"/>
        <w:gridCol w:w="1227"/>
      </w:tblGrid>
      <w:tr>
        <w:trPr>
          <w:trHeight w:val="20" w:hRule="atLeast"/>
        </w:trPr>
        <w:tc>
          <w:tcPr>
            <w:tcW w:w="7996"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75"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89"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96"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75"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2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27"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the equity accounts and movements (including transfers to reserves and dividends) are completely and accurately recorded.</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the equity accounts are appropriately authorized and issued.</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ER</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equity accounts are recorded at appropriate values.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Ensure compliance with laws and regulations.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Laws and Regulations</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equity accounts are presented and all disclosures have been given in accordance with the Fourth/Fifth Schedules of the Companies Act, 2017 and relevant IAS/IFRS.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04"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60"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04"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0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0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all equity accounts’ (showing number of shares authorized, issued, and outstanding at the beginning and end of the year and all transactions affecting equity e.g. dividends, retained earnings) trial balance/ movement schedule. Test the summarization and the reconciliation of the total to the general ledger. Trace significant reconciling items, if any, to supporting documents.</w:t>
            </w:r>
          </w:p>
        </w:tc>
        <w:tc>
          <w:tcPr>
            <w:tcW w:w="2504"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all equity accounts’ subsidiary records, general ledger and last year’s working papers.</w:t>
            </w:r>
          </w:p>
        </w:tc>
        <w:tc>
          <w:tcPr>
            <w:tcW w:w="250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Check the number of shares and amount of issued, subscribed and paid up capital from MoA and Form ‘A’. </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total of balances on the share registers with the issued capital at the balance sheet date.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listing of shareholders/pattern of shareholding from CDC and compare it with the details available with client to work out the actual pattern of shareholding.</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changes in authorized or issued shares to minutes and documents filed with the SECP.</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changes in authorized or issues shares to appropriate authorizations and approvals e.g. board resolution, member’s registers etc.</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number of shares and proceeds from issuance of new shares to cash receipts and supporting records. Compute the entries to par value of outstanding shares and paid in capital.</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number of shares and value of redemptions to cash disbursements and supporting records.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shares issued as bonus shares check board resolution and check member’s register to ensure that changes have been made in number of shares of each member.</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all receipts are through banking channels, particularly those from foreign nationals and trace in bank statement. Match with “Proceeds Realization Certificate”, if applicable.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compliance with all relevant laws and regulations.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42"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Test entries to paid-up capital other than from the issuance of securities.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4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Test entries to retained earnings other than from net income, dividends, and treasury shares. </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05"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Examine documents supporting treasury shares transactions during the period. Confirm outstanding treasury shares.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77"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Note changes in Directorships with Register of Directors and Managers and inspect Form 29 filed with the Registrar of Companies.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Examine schedule of shares owned off record and beneficially by major officers.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Consider the results of procedures performed on dividend payable and determine that dividend</w:t>
            </w:r>
            <w:bookmarkStart w:id="1" w:name="_GoBack"/>
            <w:bookmarkEnd w:id="1"/>
            <w:r>
              <w:rPr>
                <w:rFonts w:cs="Arial" w:ascii="Arial" w:hAnsi="Arial"/>
                <w:sz w:val="20"/>
                <w:szCs w:val="20"/>
              </w:rPr>
              <w:t xml:space="preserve"> and liability has been correctly recorded.</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 schedule of options granted, cancelled, and exercised during the audit period, and options outstanding, exercisable and available for future grant at the balance-sheet date. Test the summarization of the schedule.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descriptions of the shares option plans and determine that all activity during the year is in compliance.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options granted to board minutes and to schedule of changes in outstanding shares.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outstanding options are valid.</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option price of qualified shares options granted to market source.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compensation expense has been recorded on nonqualified shares options when appropriate.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Agree options cancelled or expired to supporting documentation (e.g., employee termination notice).</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0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96"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504"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724726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w w:val="103"/>
      <w:sz w:val="20"/>
      <w:szCs w:val="20"/>
      <w:lang w:val="en-US" w:eastAsia="en-US" w:bidi="ar-SA"/>
    </w:rPr>
  </w:style>
  <w:style w:type="character" w:styleId="ListLabel47">
    <w:name w:val="ListLabel 47"/>
    <w:qFormat/>
    <w:rPr>
      <w:rFonts w:eastAsia="Arial MT" w:cs="Arial MT"/>
      <w:w w:val="103"/>
      <w:sz w:val="20"/>
      <w:szCs w:val="20"/>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A166-6E20-4253-87CB-4130DA76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Application>LibreOffice/6.1.5.2$Linux_X86_64 LibreOffice_project/10$Build-2</Application>
  <Pages>6</Pages>
  <Words>1252</Words>
  <Characters>7180</Characters>
  <CharactersWithSpaces>8293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2022-09-21T16:08:31Z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