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 xml:space="preserve">*Audit Program – Fixed Assets (Tangible, Intangible and CWIP) </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fixed assets (tangible, intangible and CWIP).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39"/>
        <w:gridCol w:w="13"/>
        <w:gridCol w:w="1226"/>
        <w:gridCol w:w="7"/>
        <w:gridCol w:w="1232"/>
        <w:gridCol w:w="7"/>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Audit objectives</w:t>
            </w:r>
          </w:p>
        </w:tc>
        <w:tc>
          <w:tcPr>
            <w:tcW w:w="1252" w:type="dxa"/>
            <w:gridSpan w:val="2"/>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5"/>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gridSpan w:val="2"/>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gridSpan w:val="2"/>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Fixed assets are completely and accurately recorded.</w:t>
            </w:r>
          </w:p>
        </w:tc>
        <w:tc>
          <w:tcPr>
            <w:tcW w:w="1252" w:type="dxa"/>
            <w:gridSpan w:val="2"/>
            <w:tcBorders/>
            <w:shd w:fill="auto" w:val="clear"/>
          </w:tcPr>
          <w:p>
            <w:pPr>
              <w:pStyle w:val="Normal"/>
              <w:spacing w:lineRule="auto" w:line="240" w:before="0" w:after="0"/>
              <w:jc w:val="center"/>
              <w:rPr>
                <w:rFonts w:ascii="Arial" w:hAnsi="Arial" w:cs="Arial"/>
                <w:b/>
                <w:b/>
                <w:sz w:val="20"/>
                <w:szCs w:val="20"/>
              </w:rPr>
            </w:pPr>
            <w:r>
              <w:rPr>
                <w:rFonts w:cs="Arial" w:ascii="Arial" w:hAnsi="Arial"/>
                <w:sz w:val="20"/>
                <w:szCs w:val="20"/>
              </w:rPr>
              <w:t>CA</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fixed assets actually exist.</w:t>
            </w:r>
          </w:p>
        </w:tc>
        <w:tc>
          <w:tcPr>
            <w:tcW w:w="1252" w:type="dxa"/>
            <w:gridSpan w:val="2"/>
            <w:tcBorders/>
            <w:shd w:fill="auto" w:val="clear"/>
          </w:tcPr>
          <w:p>
            <w:pPr>
              <w:pStyle w:val="Normal"/>
              <w:spacing w:lineRule="auto" w:line="240" w:before="0" w:after="0"/>
              <w:jc w:val="center"/>
              <w:rPr>
                <w:rFonts w:ascii="Arial" w:hAnsi="Arial" w:cs="Arial"/>
                <w:b/>
                <w:b/>
                <w:sz w:val="20"/>
                <w:szCs w:val="20"/>
              </w:rPr>
            </w:pPr>
            <w:r>
              <w:rPr>
                <w:rFonts w:cs="Arial" w:ascii="Arial" w:hAnsi="Arial"/>
                <w:w w:val="99"/>
                <w:sz w:val="20"/>
                <w:szCs w:val="20"/>
              </w:rPr>
              <w:t>E</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Fixed assets recorded are owned by the client and title is also in the name of client.</w:t>
            </w:r>
          </w:p>
        </w:tc>
        <w:tc>
          <w:tcPr>
            <w:tcW w:w="1252" w:type="dxa"/>
            <w:gridSpan w:val="2"/>
            <w:tcBorders/>
            <w:shd w:fill="auto" w:val="clear"/>
          </w:tcPr>
          <w:p>
            <w:pPr>
              <w:pStyle w:val="Normal"/>
              <w:spacing w:lineRule="auto" w:line="240" w:before="0" w:after="0"/>
              <w:jc w:val="center"/>
              <w:rPr>
                <w:rFonts w:ascii="Arial" w:hAnsi="Arial" w:cs="Arial"/>
                <w:b/>
                <w:b/>
                <w:sz w:val="20"/>
                <w:szCs w:val="20"/>
              </w:rPr>
            </w:pPr>
            <w:r>
              <w:rPr>
                <w:rFonts w:cs="Arial" w:ascii="Arial" w:hAnsi="Arial"/>
                <w:w w:val="99"/>
                <w:sz w:val="20"/>
                <w:szCs w:val="20"/>
              </w:rPr>
              <w:t>R</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Fixed assets are recorded at appropriate values.</w:t>
            </w:r>
          </w:p>
        </w:tc>
        <w:tc>
          <w:tcPr>
            <w:tcW w:w="1252" w:type="dxa"/>
            <w:gridSpan w:val="2"/>
            <w:tcBorders/>
            <w:shd w:fill="auto" w:val="clear"/>
          </w:tcPr>
          <w:p>
            <w:pPr>
              <w:pStyle w:val="Normal"/>
              <w:spacing w:lineRule="auto" w:line="240" w:before="0" w:after="0"/>
              <w:jc w:val="center"/>
              <w:rPr>
                <w:rFonts w:ascii="Arial" w:hAnsi="Arial" w:cs="Arial"/>
                <w:b/>
                <w:b/>
                <w:sz w:val="20"/>
                <w:szCs w:val="20"/>
              </w:rPr>
            </w:pPr>
            <w:r>
              <w:rPr>
                <w:rFonts w:cs="Arial" w:ascii="Arial" w:hAnsi="Arial"/>
                <w:w w:val="99"/>
                <w:sz w:val="20"/>
                <w:szCs w:val="20"/>
              </w:rPr>
              <w:t>V</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Depreciation/amortization/impairment/ gain/loss on disposal has been appropriately accounted for and disclosed. </w:t>
            </w:r>
          </w:p>
        </w:tc>
        <w:tc>
          <w:tcPr>
            <w:tcW w:w="1252" w:type="dxa"/>
            <w:gridSpan w:val="2"/>
            <w:tcBorders/>
            <w:shd w:fill="auto" w:val="clear"/>
          </w:tcPr>
          <w:p>
            <w:pPr>
              <w:pStyle w:val="Normal"/>
              <w:spacing w:lineRule="auto" w:line="240" w:before="0" w:after="0"/>
              <w:jc w:val="center"/>
              <w:rPr>
                <w:rFonts w:ascii="Arial" w:hAnsi="Arial" w:cs="Arial"/>
                <w:b/>
                <w:b/>
                <w:sz w:val="20"/>
                <w:szCs w:val="20"/>
              </w:rPr>
            </w:pPr>
            <w:r>
              <w:rPr>
                <w:rFonts w:cs="Arial" w:ascii="Arial" w:hAnsi="Arial"/>
                <w:sz w:val="20"/>
                <w:szCs w:val="20"/>
              </w:rPr>
              <w:t>OCATL</w:t>
            </w:r>
          </w:p>
        </w:tc>
        <w:tc>
          <w:tcPr>
            <w:tcW w:w="123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Fixed assets are presented and all disclosures have been given in accordance with the Fourth/Fifth Schedules of the Companies Act, 2017 and relevant IAS/IFRS.</w:t>
            </w:r>
          </w:p>
        </w:tc>
        <w:tc>
          <w:tcPr>
            <w:tcW w:w="1239" w:type="dxa"/>
            <w:tcBorders/>
            <w:shd w:fill="auto" w:val="clear"/>
          </w:tcPr>
          <w:p>
            <w:pPr>
              <w:pStyle w:val="Normal"/>
              <w:spacing w:lineRule="auto" w:line="240" w:before="0" w:after="0"/>
              <w:jc w:val="center"/>
              <w:rPr>
                <w:rFonts w:ascii="Arial" w:hAnsi="Arial" w:cs="Arial"/>
                <w:b/>
                <w:b/>
                <w:sz w:val="20"/>
                <w:szCs w:val="20"/>
              </w:rPr>
            </w:pPr>
            <w:r>
              <w:rPr>
                <w:rFonts w:cs="Arial" w:ascii="Arial" w:hAnsi="Arial"/>
                <w:sz w:val="20"/>
                <w:szCs w:val="20"/>
              </w:rPr>
              <w:t>OCALRVU</w:t>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43"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rPr>
                <w:rStyle w:val="InternetLink"/>
                <w:rFonts w:ascii="Arial" w:hAnsi="Arial" w:cs="Arial"/>
                <w:b/>
                <w:b/>
                <w:sz w:val="20"/>
                <w:szCs w:val="20"/>
              </w:rPr>
            </w:pPr>
            <w:r>
              <w:rPr>
                <w:rFonts w:cs="Arial" w:ascii="Arial" w:hAnsi="Arial"/>
                <w:b/>
                <w:sz w:val="20"/>
                <w:szCs w:val="20"/>
              </w:rPr>
              <w:t>Audit procedures which satisfy audit objectives</w:t>
            </w:r>
          </w:p>
        </w:tc>
        <w:tc>
          <w:tcPr>
            <w:tcW w:w="2478" w:type="dxa"/>
            <w:gridSpan w:val="3"/>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2482" w:type="dxa"/>
            <w:gridSpan w:val="4"/>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8"/>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17"/>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17"/>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17"/>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78" w:type="dxa"/>
            <w:gridSpan w:val="3"/>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78" w:type="dxa"/>
            <w:gridSpan w:val="3"/>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78" w:type="dxa"/>
            <w:gridSpan w:val="3"/>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fixed assets register has been maintained and entries are made in the register on prompt and consistent basis and the same is reconciled with general ledger and that assets are physically verified on periodical basis.</w:t>
            </w:r>
          </w:p>
        </w:tc>
        <w:tc>
          <w:tcPr>
            <w:tcW w:w="2478" w:type="dxa"/>
            <w:gridSpan w:val="3"/>
            <w:tcBorders/>
            <w:shd w:fill="auto" w:val="clear"/>
          </w:tcPr>
          <w:p>
            <w:pPr>
              <w:pStyle w:val="TableParagraph"/>
              <w:spacing w:lineRule="exact" w:line="248"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13"/>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78" w:type="dxa"/>
            <w:gridSpan w:val="3"/>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78" w:type="dxa"/>
            <w:gridSpan w:val="3"/>
            <w:tcBorders/>
            <w:shd w:fill="auto" w:val="clear"/>
          </w:tcPr>
          <w:p>
            <w:pPr>
              <w:pStyle w:val="TableParagraph"/>
              <w:spacing w:lineRule="auto" w:line="240"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78" w:type="dxa"/>
            <w:gridSpan w:val="3"/>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8"/>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Obtain movement schedule of tangible and intangible fixed assets and capital work-in-progress and for cost, accumulated depreciation and impairment. Check casting and cross casting of the schedule.</w:t>
            </w:r>
          </w:p>
        </w:tc>
        <w:tc>
          <w:tcPr>
            <w:tcW w:w="2478" w:type="dxa"/>
            <w:gridSpan w:val="3"/>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Trace opening balances from fixed assets register, general ledger and last year’s working papers.</w:t>
            </w:r>
          </w:p>
        </w:tc>
        <w:tc>
          <w:tcPr>
            <w:tcW w:w="2478" w:type="dxa"/>
            <w:gridSpan w:val="3"/>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14"/>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14"/>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15"/>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15"/>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15"/>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16"/>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16"/>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16"/>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14"/>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14"/>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Make a selection of fixed assets held by client at year end and physically inspect them to ensure that:</w:t>
            </w:r>
          </w:p>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Asset exists and is held by the client. Also check for fixed asset tagging.</w:t>
            </w:r>
          </w:p>
          <w:p>
            <w:pPr>
              <w:pStyle w:val="ListParagraph"/>
              <w:numPr>
                <w:ilvl w:val="0"/>
                <w:numId w:val="3"/>
              </w:numPr>
              <w:spacing w:lineRule="auto" w:line="240" w:before="0" w:after="160"/>
              <w:jc w:val="both"/>
              <w:rPr>
                <w:rFonts w:ascii="Arial" w:hAnsi="Arial" w:cs="Arial"/>
                <w:sz w:val="20"/>
                <w:szCs w:val="20"/>
              </w:rPr>
            </w:pPr>
            <w:r>
              <w:rPr>
                <w:rFonts w:cs="Arial" w:ascii="Arial" w:hAnsi="Arial"/>
                <w:sz w:val="20"/>
                <w:szCs w:val="20"/>
              </w:rPr>
              <w:t>Remaining useful life appears to be correct.</w:t>
            </w:r>
          </w:p>
          <w:p>
            <w:pPr>
              <w:pStyle w:val="ListParagraph"/>
              <w:numPr>
                <w:ilvl w:val="0"/>
                <w:numId w:val="3"/>
              </w:numPr>
              <w:spacing w:lineRule="auto" w:line="240" w:before="0" w:after="160"/>
              <w:jc w:val="both"/>
              <w:rPr>
                <w:rFonts w:ascii="Arial" w:hAnsi="Arial" w:cs="Arial"/>
                <w:sz w:val="20"/>
                <w:szCs w:val="20"/>
              </w:rPr>
            </w:pPr>
            <w:r>
              <w:rPr>
                <w:rFonts w:cs="Arial" w:ascii="Arial" w:hAnsi="Arial"/>
                <w:sz w:val="20"/>
                <w:szCs w:val="20"/>
              </w:rPr>
              <w:t>No new/further impairment is needed.</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For selected additions during the current period:</w:t>
            </w:r>
          </w:p>
          <w:p>
            <w:pPr>
              <w:pStyle w:val="ListParagraph"/>
              <w:numPr>
                <w:ilvl w:val="0"/>
                <w:numId w:val="4"/>
              </w:numPr>
              <w:spacing w:lineRule="auto" w:line="240" w:beforeAutospacing="1" w:after="160"/>
              <w:jc w:val="both"/>
              <w:rPr>
                <w:rFonts w:ascii="Arial" w:hAnsi="Arial" w:cs="Arial"/>
                <w:sz w:val="20"/>
                <w:szCs w:val="20"/>
              </w:rPr>
            </w:pPr>
            <w:r>
              <w:rPr>
                <w:rFonts w:cs="Arial" w:ascii="Arial" w:hAnsi="Arial"/>
                <w:sz w:val="20"/>
                <w:szCs w:val="20"/>
              </w:rPr>
              <w:t>For purchases in current year, check capital expenditure authorization and approval.</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 xml:space="preserve">Check vendor’s invoice. </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Review the entity’s capitalization policy and check whether the assets are recognized as per the criteria laid by the policy. Ensure that additions to fixed assets do not include any amount of a nature of revenue expenditure.</w:t>
            </w:r>
          </w:p>
          <w:p>
            <w:pPr>
              <w:pStyle w:val="ListParagraph"/>
              <w:numPr>
                <w:ilvl w:val="0"/>
                <w:numId w:val="4"/>
              </w:numPr>
              <w:spacing w:lineRule="auto" w:line="240" w:before="0" w:after="160"/>
              <w:jc w:val="both"/>
              <w:rPr>
                <w:rFonts w:ascii="Arial" w:hAnsi="Arial" w:cs="Arial"/>
                <w:sz w:val="20"/>
                <w:szCs w:val="20"/>
              </w:rPr>
            </w:pPr>
            <w:r>
              <w:rPr>
                <w:rFonts w:cs="Arial" w:ascii="Arial" w:hAnsi="Arial"/>
                <w:sz w:val="20"/>
                <w:szCs w:val="20"/>
              </w:rPr>
              <w:t>Ensure that where full payment has not been made for what so ever reason, asset is recorded at full purchase price and balance has been recognized as liability.</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For selected assets disposed-off during the current period:</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Check authorization and approval.</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Check documents supporting amounts for which assets were sold e.g. bank statements and/or cash receipts.</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Ensure that where full payment has not been made for what so ever reason, asset is derecognized at full carrying value and balance has been recognized as receivable.</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Calculate gain or loss on disposal of fixed assets.</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Inspect evidence of ownership e.g. property documents, vehicle registration,  machinery import documents etc.</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To check depreciation expense:</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Determine the appropriateness and reasonableness of accounting policy and depreciation method, rates and their consistency with prior years.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Check calculation of depreciation of selected assets.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Assess the reasonableness of allocation to manufacturing costs, administration cost etc.</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any subsequent addition should be depreciated over remaining useful life and not simply depreciated by applying the depreciation rate.</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none of the assets is impaired or the recoverable amount of an asset is not less than its carrying amount. If the carrying amount of an asset is more than its recoverable amount, that same should be reduced to recoverable amount recognizing the reduction as impairment loss.</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intangible asset and the policies and procedures used to account for them. Determine whether the accounting treatment is correct and applied consistently.</w:t>
            </w:r>
          </w:p>
        </w:tc>
        <w:tc>
          <w:tcPr>
            <w:tcW w:w="2478" w:type="dxa"/>
            <w:gridSpan w:val="3"/>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all intangible assets fully comply with the definition (identifiable, control and flow of economic benefits) and recognition criteria of the IAS 38 i.e. flow of economic benefits to enterprise is expected in future, and cost of the asset may be determined.</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For selected intangibles additions during the year:</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Check approval in board meeting and obtain authorization or minutes of board meeting.</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Trace the recorded value to supporting documents e.g. independent valuation for purchases in current year.</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For selected intangible assets disposed-off during the year:</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Check disposals approval and obtain documents authorizing disposal.</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Check documents supporting amounts for which intangible assets were sold e.g. bank statements and/or cash receipts.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Calculate gain or loss on sale of assets.</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To check amortization expense:</w:t>
            </w:r>
          </w:p>
          <w:p>
            <w:pPr>
              <w:pStyle w:val="ListParagraph"/>
              <w:numPr>
                <w:ilvl w:val="0"/>
                <w:numId w:val="20"/>
              </w:numPr>
              <w:spacing w:lineRule="auto" w:line="240" w:beforeAutospacing="1" w:after="160"/>
              <w:jc w:val="both"/>
              <w:rPr>
                <w:rFonts w:ascii="Arial" w:hAnsi="Arial" w:cs="Arial"/>
                <w:sz w:val="20"/>
                <w:szCs w:val="20"/>
              </w:rPr>
            </w:pPr>
            <w:r>
              <w:rPr>
                <w:rFonts w:cs="Arial" w:ascii="Arial" w:hAnsi="Arial"/>
                <w:sz w:val="20"/>
                <w:szCs w:val="20"/>
              </w:rPr>
              <w:t xml:space="preserve">Determine that client's accounting policies for amortization are appropriate and reasonable and applied consistently. </w:t>
            </w:r>
          </w:p>
          <w:p>
            <w:pPr>
              <w:pStyle w:val="ListParagraph"/>
              <w:numPr>
                <w:ilvl w:val="0"/>
                <w:numId w:val="20"/>
              </w:numPr>
              <w:spacing w:lineRule="auto" w:line="240" w:before="0" w:after="160"/>
              <w:jc w:val="both"/>
              <w:rPr>
                <w:rFonts w:ascii="Arial" w:hAnsi="Arial" w:cs="Arial"/>
                <w:sz w:val="20"/>
                <w:szCs w:val="20"/>
              </w:rPr>
            </w:pPr>
            <w:r>
              <w:rPr>
                <w:rFonts w:cs="Arial" w:ascii="Arial" w:hAnsi="Arial"/>
                <w:sz w:val="20"/>
                <w:szCs w:val="20"/>
              </w:rPr>
              <w:t xml:space="preserve">Check the calculation of amortization of selected intangible assets. </w:t>
            </w:r>
          </w:p>
          <w:p>
            <w:pPr>
              <w:pStyle w:val="ListParagraph"/>
              <w:numPr>
                <w:ilvl w:val="0"/>
                <w:numId w:val="20"/>
              </w:numPr>
              <w:spacing w:lineRule="auto" w:line="240" w:before="0" w:after="160"/>
              <w:jc w:val="both"/>
              <w:rPr>
                <w:rFonts w:ascii="Arial" w:hAnsi="Arial" w:cs="Arial"/>
                <w:sz w:val="20"/>
                <w:szCs w:val="20"/>
              </w:rPr>
            </w:pPr>
            <w:r>
              <w:rPr>
                <w:rFonts w:cs="Arial" w:ascii="Arial" w:hAnsi="Arial"/>
                <w:sz w:val="20"/>
                <w:szCs w:val="20"/>
              </w:rPr>
              <w:t>Assess the reasonableness of allocation to manufacturing costs, administration cost etc.</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any subsequent addition should be amortized over remaining useful life and not simply amortized by applying the amortization rate.</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See that intangible assets with indefinite life are subject to impairment review.</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none of the intangibles is impaired or the recoverable amount of an intangible is not less than its carrying amount. If the carrying amount of an intangible is more than its recoverable amount, that same should be reduced to recoverable amount recognizing the reduction as impairment loss.</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For selected additions in leased assets during the year, check from lease agreements that the lease is a finance lease in substance.</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depreciation on leased assets is calculated on the same rates as for owned assets.</w:t>
            </w:r>
          </w:p>
          <w:p>
            <w:pPr>
              <w:pStyle w:val="ListParagraph"/>
              <w:spacing w:lineRule="auto" w:line="240" w:beforeAutospacing="1" w:after="0"/>
              <w:ind w:left="360" w:hanging="0"/>
              <w:jc w:val="both"/>
              <w:rPr>
                <w:rFonts w:ascii="Arial" w:hAnsi="Arial" w:cs="Arial"/>
                <w:sz w:val="20"/>
                <w:szCs w:val="20"/>
              </w:rPr>
            </w:pPr>
            <w:r>
              <w:rPr>
                <w:rFonts w:cs="Arial" w:ascii="Arial" w:hAnsi="Arial"/>
                <w:sz w:val="20"/>
                <w:szCs w:val="20"/>
              </w:rPr>
            </w:r>
          </w:p>
          <w:p>
            <w:pPr>
              <w:pStyle w:val="ListParagraph"/>
              <w:spacing w:lineRule="auto" w:line="240" w:beforeAutospacing="1" w:after="0"/>
              <w:ind w:left="360" w:hanging="0"/>
              <w:jc w:val="both"/>
              <w:rPr>
                <w:rFonts w:ascii="Arial" w:hAnsi="Arial" w:cs="Arial"/>
                <w:sz w:val="20"/>
                <w:szCs w:val="20"/>
              </w:rPr>
            </w:pPr>
            <w:r>
              <w:rPr>
                <w:rFonts w:cs="Arial" w:ascii="Arial" w:hAnsi="Arial"/>
                <w:sz w:val="20"/>
                <w:szCs w:val="20"/>
              </w:rPr>
              <w:t>If there is no reasonable certainty that the lessee will obtain ownership by the end of the lease term, the assets should be fully depreciated over the shorter of the lease term or its useful life.</w:t>
            </w:r>
          </w:p>
        </w:tc>
        <w:tc>
          <w:tcPr>
            <w:tcW w:w="2478" w:type="dxa"/>
            <w:gridSpan w:val="3"/>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For selected additions to CWIP during the year:</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Check approvals and authorizations.</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supporting documents like vendors' invoices, contractor bills, and other evidences.</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For selected transfers to fixed assets during the year, check contractor certificates of completion of project and proper authorization and approval thereof and examine the stage of completion.</w:t>
            </w:r>
          </w:p>
        </w:tc>
        <w:tc>
          <w:tcPr>
            <w:tcW w:w="2478" w:type="dxa"/>
            <w:gridSpan w:val="3"/>
            <w:tcBorders/>
            <w:shd w:fill="auto" w:val="clear"/>
          </w:tcPr>
          <w:p>
            <w:pPr>
              <w:pStyle w:val="TableParagraph"/>
              <w:spacing w:lineRule="exact" w:line="250"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For items stuck-up for considerable period of time, inquire about its status from the management. Compute provisions if required and ask for management representations.</w:t>
            </w:r>
          </w:p>
        </w:tc>
        <w:tc>
          <w:tcPr>
            <w:tcW w:w="2478" w:type="dxa"/>
            <w:gridSpan w:val="3"/>
            <w:tcBorders/>
            <w:shd w:fill="auto" w:val="clear"/>
          </w:tcPr>
          <w:p>
            <w:pPr>
              <w:pStyle w:val="TableParagraph"/>
              <w:spacing w:lineRule="exact" w:line="245"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In case of revalued assets ensure that:</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Entire class of assets has been revalued on periodical basis.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Calculation of revaluation surplus/deficit has been based on revaluation reports.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The valuation has been carried out by renowned valuers.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Any asset's revaluation results in deficit should not be adjusted against other assets' surplus but should be immediately charged.</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Depreciation is charged on revalued amount and remaining useful life.</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Revalued amount and incremental depreciation should be transferred to other comprehensive income.</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18"/>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8"/>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9"/>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9"/>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9"/>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1"/>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78" w:type="dxa"/>
            <w:gridSpan w:val="3"/>
            <w:tcBorders/>
            <w:shd w:fill="auto" w:val="clear"/>
          </w:tcPr>
          <w:p>
            <w:pPr>
              <w:pStyle w:val="TableParagraph"/>
              <w:spacing w:lineRule="auto" w:line="240" w:before="0" w:after="0"/>
              <w:ind w:hanging="68"/>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8"/>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12"/>
              </w:numPr>
              <w:spacing w:lineRule="auto" w:line="240" w:beforeAutospacing="1" w:after="0"/>
              <w:jc w:val="both"/>
              <w:rPr>
                <w:rFonts w:ascii="Arial" w:hAnsi="Arial" w:cs="Arial"/>
                <w:sz w:val="20"/>
                <w:szCs w:val="20"/>
              </w:rPr>
            </w:pPr>
            <w:r>
              <w:rPr>
                <w:rFonts w:cs="Arial" w:ascii="Arial" w:hAnsi="Arial"/>
                <w:sz w:val="20"/>
                <w:szCs w:val="20"/>
              </w:rPr>
              <w:t>Document logical commercial reasons for major additions and disposals made during the year and check whether the additions are in accordance with the objects of the company.</w:t>
            </w:r>
          </w:p>
        </w:tc>
        <w:tc>
          <w:tcPr>
            <w:tcW w:w="2478" w:type="dxa"/>
            <w:gridSpan w:val="3"/>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2"/>
              </w:numPr>
              <w:spacing w:lineRule="auto" w:line="240" w:beforeAutospacing="1" w:after="0"/>
              <w:jc w:val="both"/>
              <w:rPr>
                <w:rFonts w:ascii="Arial" w:hAnsi="Arial" w:cs="Arial"/>
                <w:sz w:val="20"/>
                <w:szCs w:val="20"/>
              </w:rPr>
            </w:pPr>
            <w:r>
              <w:rPr>
                <w:rFonts w:cs="Arial" w:ascii="Arial" w:hAnsi="Arial"/>
                <w:sz w:val="20"/>
                <w:szCs w:val="20"/>
              </w:rPr>
              <w:t>Assess the appropriateness of depreciation/amortization method and rate in view of the flow of economic benefits and useful life of the assets. Moreover, assess the reasonableness of depreciation expense by applying depreciation rate to closing cost/ carrying value as per the method adopted.</w:t>
            </w:r>
          </w:p>
        </w:tc>
        <w:tc>
          <w:tcPr>
            <w:tcW w:w="2478" w:type="dxa"/>
            <w:gridSpan w:val="3"/>
            <w:tcBorders/>
            <w:shd w:fill="auto" w:val="clear"/>
          </w:tcPr>
          <w:p>
            <w:pPr>
              <w:pStyle w:val="TableParagraph"/>
              <w:spacing w:lineRule="exact" w:line="252"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2"/>
              </w:numPr>
              <w:spacing w:lineRule="auto" w:line="240" w:beforeAutospacing="1" w:after="0"/>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bookmarkStart w:id="1" w:name="_GoBack"/>
            <w:bookmarkEnd w:id="1"/>
            <w:r>
              <w:rPr>
                <w:rFonts w:cs="Arial" w:ascii="Arial" w:hAnsi="Arial"/>
                <w:sz w:val="20"/>
                <w:szCs w:val="20"/>
              </w:rPr>
              <w:t>.</w:t>
            </w:r>
          </w:p>
        </w:tc>
        <w:tc>
          <w:tcPr>
            <w:tcW w:w="2478" w:type="dxa"/>
            <w:gridSpan w:val="3"/>
            <w:tcBorders/>
            <w:shd w:fill="auto" w:val="clear"/>
          </w:tcPr>
          <w:p>
            <w:pPr>
              <w:pStyle w:val="TableParagraph"/>
              <w:spacing w:lineRule="exact" w:line="251" w:before="0" w:after="0"/>
              <w:rPr>
                <w:rFonts w:ascii="Arial" w:hAnsi="Arial" w:cs="Arial"/>
                <w:sz w:val="20"/>
              </w:rPr>
            </w:pPr>
            <w:r>
              <w:rPr>
                <w:rFonts w:cs="Arial" w:ascii="Arial" w:hAnsi="Arial"/>
                <w:sz w:val="20"/>
              </w:rPr>
            </w:r>
          </w:p>
        </w:tc>
        <w:tc>
          <w:tcPr>
            <w:tcW w:w="2482" w:type="dxa"/>
            <w:gridSpan w:val="4"/>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383034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10</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1"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eastAsia="Arial MT" w:cs="Arial MT"/>
      <w:w w:val="99"/>
      <w:sz w:val="22"/>
      <w:szCs w:val="22"/>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lang w:val="en-US" w:eastAsia="en-US" w:bidi="ar-SA"/>
    </w:rPr>
  </w:style>
  <w:style w:type="character" w:styleId="ListLabel12">
    <w:name w:val="ListLabel 12"/>
    <w:qFormat/>
    <w:rPr>
      <w:rFonts w:eastAsia="Wingdings" w:cs="Wingdings"/>
      <w:w w:val="100"/>
      <w:sz w:val="18"/>
      <w:szCs w:val="18"/>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lang w:val="en-US" w:eastAsia="en-US" w:bidi="ar-SA"/>
    </w:rPr>
  </w:style>
  <w:style w:type="character" w:styleId="ListLabel21">
    <w:name w:val="ListLabel 21"/>
    <w:qFormat/>
    <w:rPr>
      <w:rFonts w:eastAsia="Arial MT" w:cs="Arial MT"/>
      <w:w w:val="99"/>
      <w:sz w:val="22"/>
      <w:szCs w:val="22"/>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lang w:val="en-US" w:eastAsia="en-US" w:bidi="ar-SA"/>
    </w:rPr>
  </w:style>
  <w:style w:type="character" w:styleId="ListLabel30">
    <w:name w:val="ListLabel 30"/>
    <w:qFormat/>
    <w:rPr>
      <w:rFonts w:eastAsia="Arial MT" w:cs="Arial MT"/>
      <w:w w:val="99"/>
      <w:sz w:val="22"/>
      <w:szCs w:val="22"/>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lang w:val="en-US" w:eastAsia="en-US" w:bidi="ar-SA"/>
    </w:rPr>
  </w:style>
  <w:style w:type="character" w:styleId="ListLabel39">
    <w:name w:val="ListLabel 39"/>
    <w:qFormat/>
    <w:rPr>
      <w:rFonts w:eastAsia="Arial MT" w:cs="Arial MT"/>
      <w:w w:val="99"/>
      <w:sz w:val="22"/>
      <w:szCs w:val="22"/>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lang w:val="en-US" w:eastAsia="en-US" w:bidi="ar-SA"/>
    </w:rPr>
  </w:style>
  <w:style w:type="character" w:styleId="ListLabel48">
    <w:name w:val="ListLabel 48"/>
    <w:qFormat/>
    <w:rPr>
      <w:rFonts w:eastAsia="Arial MT" w:cs="Arial MT"/>
      <w:w w:val="99"/>
      <w:sz w:val="22"/>
      <w:szCs w:val="22"/>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lang w:val="en-US" w:eastAsia="en-US" w:bidi="ar-SA"/>
    </w:rPr>
  </w:style>
  <w:style w:type="character" w:styleId="ListLabel57">
    <w:name w:val="ListLabel 57"/>
    <w:qFormat/>
    <w:rPr>
      <w:rFonts w:eastAsia="Arial MT" w:cs="Arial MT"/>
      <w:w w:val="99"/>
      <w:sz w:val="22"/>
      <w:szCs w:val="22"/>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lang w:val="en-US" w:eastAsia="en-US" w:bidi="ar-SA"/>
    </w:rPr>
  </w:style>
  <w:style w:type="character" w:styleId="ListLabel65">
    <w:name w:val="ListLabel 65"/>
    <w:qFormat/>
    <w:rPr>
      <w:lang w:val="en-US" w:eastAsia="en-US" w:bidi="ar-SA"/>
    </w:rPr>
  </w:style>
  <w:style w:type="character" w:styleId="ListLabel66">
    <w:name w:val="ListLabel 66"/>
    <w:qFormat/>
    <w:rPr>
      <w:rFonts w:eastAsia="Arial MT" w:cs="Arial MT"/>
      <w:w w:val="99"/>
      <w:sz w:val="22"/>
      <w:szCs w:val="22"/>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lang w:val="en-US" w:eastAsia="en-US" w:bidi="ar-SA"/>
    </w:rPr>
  </w:style>
  <w:style w:type="character" w:styleId="ListLabel74">
    <w:name w:val="ListLabel 74"/>
    <w:qFormat/>
    <w:rPr>
      <w:lang w:val="en-US" w:eastAsia="en-US" w:bidi="ar-SA"/>
    </w:rPr>
  </w:style>
  <w:style w:type="character" w:styleId="ListLabel75">
    <w:name w:val="ListLabel 75"/>
    <w:qFormat/>
    <w:rPr>
      <w:rFonts w:eastAsia="Arial MT" w:cs="Arial MT"/>
      <w:w w:val="99"/>
      <w:sz w:val="22"/>
      <w:szCs w:val="22"/>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lang w:val="en-US" w:eastAsia="en-US" w:bidi="ar-SA"/>
    </w:rPr>
  </w:style>
  <w:style w:type="character" w:styleId="ListLabel83">
    <w:name w:val="ListLabel 83"/>
    <w:qFormat/>
    <w:rPr>
      <w:lang w:val="en-US" w:eastAsia="en-US" w:bidi="ar-SA"/>
    </w:rPr>
  </w:style>
  <w:style w:type="character" w:styleId="ListLabel84">
    <w:name w:val="ListLabel 84"/>
    <w:qFormat/>
    <w:rPr>
      <w:rFonts w:eastAsia="Arial MT" w:cs="Arial MT"/>
      <w:w w:val="99"/>
      <w:sz w:val="22"/>
      <w:szCs w:val="22"/>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lang w:val="en-US" w:eastAsia="en-US" w:bidi="ar-SA"/>
    </w:rPr>
  </w:style>
  <w:style w:type="character" w:styleId="ListLabel92">
    <w:name w:val="ListLabel 92"/>
    <w:qFormat/>
    <w:rPr>
      <w:lang w:val="en-US" w:eastAsia="en-US" w:bidi="ar-SA"/>
    </w:rPr>
  </w:style>
  <w:style w:type="character" w:styleId="ListLabel93">
    <w:name w:val="ListLabel 93"/>
    <w:qFormat/>
    <w:rPr>
      <w:rFonts w:eastAsia="Wingdings" w:cs="Wingdings"/>
      <w:w w:val="100"/>
      <w:sz w:val="18"/>
      <w:szCs w:val="18"/>
      <w:lang w:val="en-US" w:eastAsia="en-US" w:bidi="ar-SA"/>
    </w:rPr>
  </w:style>
  <w:style w:type="character" w:styleId="ListLabel94">
    <w:name w:val="ListLabel 94"/>
    <w:qFormat/>
    <w:rPr>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lang w:val="en-US" w:eastAsia="en-US" w:bidi="ar-SA"/>
    </w:rPr>
  </w:style>
  <w:style w:type="character" w:styleId="ListLabel101">
    <w:name w:val="ListLabel 101"/>
    <w:qFormat/>
    <w:rPr>
      <w:lang w:val="en-US" w:eastAsia="en-US" w:bidi="ar-SA"/>
    </w:rPr>
  </w:style>
  <w:style w:type="character" w:styleId="ListLabel102">
    <w:name w:val="ListLabel 102"/>
    <w:qFormat/>
    <w:rPr>
      <w:rFonts w:eastAsia="Wingdings" w:cs="Wingdings"/>
      <w:w w:val="100"/>
      <w:sz w:val="18"/>
      <w:szCs w:val="18"/>
      <w:lang w:val="en-US" w:eastAsia="en-US" w:bidi="ar-SA"/>
    </w:rPr>
  </w:style>
  <w:style w:type="character" w:styleId="ListLabel103">
    <w:name w:val="ListLabel 103"/>
    <w:qFormat/>
    <w:rPr>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lang w:val="en-US" w:eastAsia="en-US" w:bidi="ar-SA"/>
    </w:rPr>
  </w:style>
  <w:style w:type="character" w:styleId="ListLabel110">
    <w:name w:val="ListLabel 110"/>
    <w:qFormat/>
    <w:rPr>
      <w:lang w:val="en-US" w:eastAsia="en-US" w:bidi="ar-SA"/>
    </w:rPr>
  </w:style>
  <w:style w:type="character" w:styleId="ListLabel111">
    <w:name w:val="ListLabel 111"/>
    <w:qFormat/>
    <w:rPr>
      <w:rFonts w:eastAsia="" w:cs=""/>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3A417-44B1-4AB1-B596-1ACF92BB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Application>LibreOffice/6.1.5.2$Linux_X86_64 LibreOffice_project/10$Build-2</Application>
  <Pages>10</Pages>
  <Words>2227</Words>
  <Characters>12635</Characters>
  <CharactersWithSpaces>14635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2022-09-21T16:10:24Z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