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Client:</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bookmarkStart w:id="0" w:name="__DdeLink__18962_3283385913"/>
            <w:r>
              <w:rPr>
                <w:rFonts w:eastAsia="Calibri" w:cs="Arial" w:ascii="Arial" w:hAnsi="Arial"/>
                <w:b/>
                <w:bCs/>
                <w:color w:val="000000"/>
                <w:sz w:val="20"/>
                <w:szCs w:val="20"/>
              </w:rPr>
              <w:t>$</w:t>
            </w:r>
            <w:bookmarkEnd w:id="0"/>
            <w:r>
              <w:rPr>
                <w:rFonts w:eastAsia="Calibri" w:cs="Arial" w:ascii="Arial" w:hAnsi="Arial"/>
                <w:b/>
                <w:bCs/>
                <w:color w:val="000000"/>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Period end date: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rFonts w:ascii="Arial" w:hAnsi="Arial" w:eastAsia="Times New Roman" w:cs="Arial"/>
                <w:color w:val="000000"/>
                <w:sz w:val="20"/>
                <w:szCs w:val="20"/>
              </w:rPr>
            </w:pPr>
            <w:r>
              <w:rPr>
                <w:rFonts w:eastAsia="Calibri" w:cs="Arial" w:ascii="Arial" w:hAnsi="Arial"/>
                <w:b/>
                <w:bCs/>
                <w:color w:val="000000"/>
                <w:sz w:val="20"/>
                <w:szCs w:val="20"/>
              </w:rPr>
              <w:t>${start} - ${end}</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EGA title:</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t>*Going Concern</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Ref. no.:</w:t>
            </w:r>
          </w:p>
        </w:tc>
        <w:tc>
          <w:tcPr>
            <w:tcW w:w="6954" w:type="dxa"/>
            <w:gridSpan w:val="2"/>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Times New Roman" w:cs="Arial" w:ascii="Arial" w:hAnsi="Arial"/>
                <w:color w:val="000000"/>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Prepared by:</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${user}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 xml:space="preserve">Approved by Manager: </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${manager}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bCs/>
                <w:color w:val="000000"/>
                <w:sz w:val="20"/>
                <w:szCs w:val="20"/>
              </w:rPr>
            </w:pPr>
            <w:r>
              <w:rPr>
                <w:rFonts w:eastAsia="Times New Roman" w:cs="Arial" w:ascii="Arial" w:hAnsi="Arial"/>
                <w:b/>
                <w:bCs/>
                <w:color w:val="000000"/>
                <w:sz w:val="20"/>
                <w:szCs w:val="20"/>
              </w:rPr>
              <w:t>Approved by 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Times New Roman" w:cs="Arial"/>
                <w:color w:val="000000"/>
                <w:sz w:val="20"/>
                <w:szCs w:val="20"/>
              </w:rPr>
            </w:pPr>
            <w:r>
              <w:rPr>
                <w:rFonts w:eastAsia="Calibri" w:cs="Arial" w:ascii="Arial" w:hAnsi="Arial"/>
                <w:color w:val="000000"/>
                <w:sz w:val="20"/>
                <w:szCs w:val="20"/>
              </w:rPr>
              <w:t>${partner}</w:t>
            </w:r>
          </w:p>
        </w:tc>
        <w:tc>
          <w:tcPr>
            <w:tcW w:w="3477" w:type="dxa"/>
            <w:tcBorders>
              <w:top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eastAsia="Times New Roman" w:cs="Arial"/>
                <w:b/>
                <w:b/>
                <w:color w:val="000000"/>
                <w:sz w:val="20"/>
                <w:szCs w:val="20"/>
              </w:rPr>
            </w:pPr>
            <w:r>
              <w:rPr>
                <w:rFonts w:eastAsia="Times New Roman" w:cs="Arial" w:ascii="Arial" w:hAnsi="Arial"/>
                <w:b/>
                <w:color w:val="000000"/>
                <w:sz w:val="20"/>
                <w:szCs w:val="20"/>
              </w:rPr>
              <w:t>Date:</w:t>
            </w:r>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tbl>
      <w:tblPr>
        <w:tblStyle w:val="TableGrid1"/>
        <w:tblW w:w="5000" w:type="pct"/>
        <w:jc w:val="left"/>
        <w:tblInd w:w="0" w:type="dxa"/>
        <w:tblCellMar>
          <w:top w:w="0" w:type="dxa"/>
          <w:left w:w="108" w:type="dxa"/>
          <w:bottom w:w="0" w:type="dxa"/>
          <w:right w:w="108" w:type="dxa"/>
        </w:tblCellMar>
        <w:tblLook w:noVBand="1" w:val="04a0" w:noHBand="0" w:lastColumn="0" w:firstColumn="1" w:lastRow="0" w:firstRow="1"/>
      </w:tblPr>
      <w:tblGrid>
        <w:gridCol w:w="5852"/>
        <w:gridCol w:w="1754"/>
        <w:gridCol w:w="1754"/>
      </w:tblGrid>
      <w:tr>
        <w:trPr/>
        <w:tc>
          <w:tcPr>
            <w:tcW w:w="5852"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Procedures performed</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Links</w:t>
            </w:r>
          </w:p>
        </w:tc>
        <w:tc>
          <w:tcPr>
            <w:tcW w:w="1754"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Ref. no.</w:t>
            </w:r>
          </w:p>
        </w:tc>
      </w:tr>
      <w:tr>
        <w:trPr>
          <w:trHeight w:val="440" w:hRule="atLeast"/>
        </w:trPr>
        <w:tc>
          <w:tcPr>
            <w:tcW w:w="5852" w:type="dxa"/>
            <w:tcBorders/>
            <w:shd w:fill="auto" w:val="clear"/>
          </w:tcPr>
          <w:p>
            <w:pPr>
              <w:pStyle w:val="Normal"/>
              <w:numPr>
                <w:ilvl w:val="0"/>
                <w:numId w:val="1"/>
              </w:numPr>
              <w:spacing w:lineRule="auto" w:line="240" w:before="0" w:after="0"/>
              <w:contextualSpacing/>
              <w:jc w:val="both"/>
              <w:rPr>
                <w:rFonts w:ascii="Arial" w:hAnsi="Arial" w:cs="Arial"/>
                <w:sz w:val="20"/>
                <w:szCs w:val="20"/>
              </w:rPr>
            </w:pPr>
            <w:r>
              <w:rPr>
                <w:rFonts w:cs="Arial" w:ascii="Arial" w:hAnsi="Arial"/>
                <w:sz w:val="20"/>
                <w:szCs w:val="20"/>
              </w:rPr>
              <w:t>In responding to the assessed risks related to going concern when events or conditions were identified that may cast significant doubt on the entity’s ability to continue as a going concern, the engagement team obtained sufficient appropriate audit evidence to determine whether or not a material uncertainty existed through performing additional audit procedures, including consideration of mitigating factors. These procedures included:</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Where management had not performed an assessment of the entity’s ability to continue as a going concern, requesting management to make its assessment.</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Evaluating management’s plans for future actions in relation to its going concern assessment, the likely success of outcome of these plans and the feasibility of these plans in the circumstances.</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Where the entity prepared a cash flow forecast, and analysis of the forecast was a significant factor in considering the future outcome of events or conditions in the evaluation of management’s plans for future actions, the engagement team evaluated the reliability of the underlying data generated to prepare the forecast; and ensured adequate support for the assumptions underlying the forecast.</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Considering any additional facts or information arising since the date on which management made its assessment.</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Requesting written representations from management and, where appropriate, those charged with governance, regarding their plans for future actions and the feasibility of these plans.</w:t>
            </w:r>
          </w:p>
          <w:p>
            <w:pPr>
              <w:pStyle w:val="Normal"/>
              <w:numPr>
                <w:ilvl w:val="0"/>
                <w:numId w:val="2"/>
              </w:numPr>
              <w:spacing w:lineRule="auto" w:line="240" w:before="0" w:after="0"/>
              <w:contextualSpacing/>
              <w:jc w:val="both"/>
              <w:rPr>
                <w:rFonts w:ascii="Arial" w:hAnsi="Arial" w:cs="Arial"/>
                <w:sz w:val="20"/>
                <w:szCs w:val="20"/>
              </w:rPr>
            </w:pPr>
            <w:r>
              <w:rPr>
                <w:rFonts w:cs="Arial" w:ascii="Arial" w:hAnsi="Arial"/>
                <w:sz w:val="20"/>
                <w:szCs w:val="20"/>
              </w:rPr>
              <w:t>Communicating with management and/or those charged with governance events or conditions identified that may cast significant doubt on the entity’s ability to continue as a going concern and related matters.</w:t>
            </w:r>
          </w:p>
        </w:tc>
        <w:tc>
          <w:tcPr>
            <w:tcW w:w="1754" w:type="dxa"/>
            <w:tcBorders/>
            <w:shd w:fill="auto" w:val="clear"/>
          </w:tcPr>
          <w:p>
            <w:pPr>
              <w:pStyle w:val="Normal"/>
              <w:spacing w:lineRule="auto" w:line="240" w:before="0" w:after="0"/>
              <w:jc w:val="both"/>
              <w:rPr/>
            </w:pPr>
            <w:hyperlink r:id="rId2">
              <w:r>
                <w:rPr>
                  <w:rStyle w:val="InternetLink"/>
                  <w:rFonts w:cs="Arial" w:ascii="Arial" w:hAnsi="Arial"/>
                  <w:b/>
                  <w:sz w:val="20"/>
                  <w:szCs w:val="20"/>
                </w:rPr>
                <w:t>Concluding on Preliminary Assessments.docx</w:t>
              </w:r>
            </w:hyperlink>
          </w:p>
          <w:p>
            <w:pPr>
              <w:pStyle w:val="Normal"/>
              <w:spacing w:lineRule="auto" w:line="240" w:before="0" w:after="0"/>
              <w:jc w:val="both"/>
              <w:rPr>
                <w:rStyle w:val="InternetLink"/>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Attach written representations</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Where applicable, attach any minutes/memo/ written communication made.</w:t>
            </w:r>
          </w:p>
          <w:p>
            <w:pPr>
              <w:pStyle w:val="Normal"/>
              <w:spacing w:lineRule="auto" w:line="240" w:before="0" w:after="0"/>
              <w:jc w:val="both"/>
              <w:rPr>
                <w:rFonts w:ascii="Arial" w:hAnsi="Arial" w:cs="Arial"/>
                <w:sz w:val="20"/>
                <w:szCs w:val="20"/>
              </w:rPr>
            </w:pPr>
            <w:r>
              <w:rPr>
                <w:rFonts w:cs="Arial" w:ascii="Arial" w:hAnsi="Arial"/>
                <w:sz w:val="20"/>
                <w:szCs w:val="20"/>
              </w:rPr>
            </w:r>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44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 xml:space="preserve">The engagement team concluded on the going concern assessment (in order to determine implications for the audit report) as follows: </w:t>
            </w:r>
          </w:p>
          <w:p>
            <w:pPr>
              <w:pStyle w:val="Normal"/>
              <w:numPr>
                <w:ilvl w:val="0"/>
                <w:numId w:val="3"/>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The engagement team evaluated whether sufficient appropriate audit evidence had been obtained regarding, and concluded on, the appropriateness of management’s use of the going concern basis of accounting in the preparation of the financial statements.</w:t>
            </w:r>
          </w:p>
          <w:p>
            <w:pPr>
              <w:pStyle w:val="Normal"/>
              <w:numPr>
                <w:ilvl w:val="0"/>
                <w:numId w:val="3"/>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Based on the audit evidence obtained, the engagement team concluded whether a material uncertainty existed related to events or conditions that, individually or collectively, may cast significant doubt on the entity’s ability to continue as a going concern (a material uncertainty exists when the magnitude of its potential impact and likelihood of occurrence is such that, in the auditor’s judgment, appropriate disclosure of the nature and implications of the uncertainty is necessary for the fair presentation of the financial statements/ the financial statements not to be misleading).</w:t>
            </w:r>
          </w:p>
          <w:p>
            <w:pPr>
              <w:pStyle w:val="Normal"/>
              <w:numPr>
                <w:ilvl w:val="0"/>
                <w:numId w:val="3"/>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 xml:space="preserve">If the engagement team concluded that management’s use of the going concern basis of accounting is appropriate in the circumstances but a material uncertainty exists, the engagement team determined whether the financial statements: </w:t>
            </w:r>
          </w:p>
          <w:p>
            <w:pPr>
              <w:pStyle w:val="ListParagraph"/>
              <w:numPr>
                <w:ilvl w:val="1"/>
                <w:numId w:val="3"/>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 xml:space="preserve">Adequately disclosed the principal events or conditions that may cast significant doubt on the entity’s ability to continue as a going concern and management’s plans to deal with these events or conditions; and </w:t>
            </w:r>
          </w:p>
          <w:p>
            <w:pPr>
              <w:pStyle w:val="ListParagraph"/>
              <w:numPr>
                <w:ilvl w:val="1"/>
                <w:numId w:val="3"/>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Disclosed clearly that there is a material uncertainty related to events or conditions that may cast significant doubt on the entity’s ability to continue as a going concern and, therefore, that it may be unable to realize its assets and discharge its liabilities in the normal course of business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color w:val="000000"/>
                <w:sz w:val="20"/>
                <w:szCs w:val="20"/>
              </w:rPr>
              <w:t>If events or conditions were identified that may cast significant doubt on the entity’s ability to continue as a going concern but, based on the audit evidence obtained the engagement team concluded that no material uncertainty existed, the engagement team evaluated whether, in view of the requirements of the applicable financial reporting framework, the financial statements provided adequate disclosures about these events or conditions.</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color w:val="000000"/>
                <w:sz w:val="20"/>
                <w:szCs w:val="20"/>
              </w:rPr>
              <w:t>If management unwilling to make or extend its assessment when requested to do so, the engagement team considered the implications for the audit report.</w:t>
            </w:r>
          </w:p>
          <w:p>
            <w:pPr>
              <w:pStyle w:val="ListParagraph"/>
              <w:numPr>
                <w:ilvl w:val="0"/>
                <w:numId w:val="3"/>
              </w:numPr>
              <w:spacing w:lineRule="auto" w:line="240" w:before="0" w:after="0"/>
              <w:contextualSpacing/>
              <w:jc w:val="both"/>
              <w:rPr>
                <w:rFonts w:ascii="Arial" w:hAnsi="Arial" w:cs="Arial"/>
                <w:sz w:val="20"/>
                <w:szCs w:val="20"/>
              </w:rPr>
            </w:pPr>
            <w:r>
              <w:rPr>
                <w:rFonts w:cs="Arial" w:ascii="Arial" w:hAnsi="Arial"/>
                <w:sz w:val="20"/>
                <w:szCs w:val="20"/>
              </w:rPr>
              <w:t>In case of a significant delay in the approval of the financial statements by management or those charged with governance after the date of the financial statements, the engagement team inquired as to the reasons for the delay. If the engagement team believed the delay to be related to events or conditions relating to the going concern assessment, the engagement team performed additional audit procedures as necessary, as well as consider the effect on the conclusion regarding the existence of a material uncertainty.</w:t>
            </w:r>
          </w:p>
        </w:tc>
        <w:tc>
          <w:tcPr>
            <w:tcW w:w="1754" w:type="dxa"/>
            <w:tcBorders/>
            <w:shd w:fill="auto" w:val="clear"/>
          </w:tcPr>
          <w:p>
            <w:pPr>
              <w:pStyle w:val="Normal"/>
              <w:spacing w:lineRule="auto" w:line="240" w:before="0" w:after="0"/>
              <w:jc w:val="both"/>
              <w:rPr/>
            </w:pPr>
            <w:hyperlink r:id="rId3">
              <w:r>
                <w:rPr>
                  <w:rStyle w:val="InternetLink"/>
                  <w:rFonts w:cs="Arial" w:ascii="Arial" w:hAnsi="Arial"/>
                  <w:b/>
                  <w:sz w:val="20"/>
                  <w:szCs w:val="20"/>
                </w:rPr>
                <w:t>Concluding on Preliminary Assessments.docx</w:t>
              </w:r>
            </w:hyperlink>
          </w:p>
        </w:tc>
        <w:tc>
          <w:tcPr>
            <w:tcW w:w="1754"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440" w:hRule="atLeast"/>
        </w:trPr>
        <w:tc>
          <w:tcPr>
            <w:tcW w:w="5852" w:type="dxa"/>
            <w:tcBorders/>
            <w:shd w:fill="auto" w:val="clear"/>
          </w:tcPr>
          <w:p>
            <w:pPr>
              <w:pStyle w:val="ListParagraph"/>
              <w:numPr>
                <w:ilvl w:val="0"/>
                <w:numId w:val="1"/>
              </w:numPr>
              <w:spacing w:lineRule="auto" w:line="240" w:before="0" w:after="0"/>
              <w:contextualSpacing/>
              <w:jc w:val="both"/>
              <w:rPr>
                <w:rFonts w:ascii="Arial" w:hAnsi="Arial" w:cs="Arial"/>
                <w:color w:val="000000"/>
                <w:sz w:val="20"/>
                <w:szCs w:val="20"/>
              </w:rPr>
            </w:pPr>
            <w:r>
              <w:rPr>
                <w:rFonts w:cs="Arial" w:ascii="Arial" w:hAnsi="Arial"/>
                <w:color w:val="000000"/>
                <w:sz w:val="20"/>
                <w:szCs w:val="20"/>
              </w:rPr>
              <w:t>In situations concerning going concern, the engagement partner was informed and appropriate consultations were undertaken (e.g. with the engagement quality control reviewer etc.).</w:t>
            </w:r>
          </w:p>
        </w:tc>
        <w:tc>
          <w:tcPr>
            <w:tcW w:w="1754" w:type="dxa"/>
            <w:tcBorders/>
            <w:shd w:fill="auto" w:val="clear"/>
          </w:tcPr>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t>Not applicable as no such circumstances exist.</w:t>
            </w:r>
          </w:p>
          <w:p>
            <w:pPr>
              <w:pStyle w:val="Normal"/>
              <w:spacing w:lineRule="auto" w:line="240" w:before="0" w:after="0"/>
              <w:jc w:val="both"/>
              <w:rPr>
                <w:rFonts w:ascii="Arial" w:hAnsi="Arial" w:cs="Arial"/>
                <w:color w:val="1F1F1F"/>
                <w:sz w:val="20"/>
                <w:szCs w:val="20"/>
              </w:rPr>
            </w:pPr>
            <w:r>
              <w:rPr>
                <w:rFonts w:cs="Arial" w:ascii="Arial" w:hAnsi="Arial"/>
                <w:color w:val="1F1F1F"/>
                <w:sz w:val="20"/>
                <w:szCs w:val="20"/>
              </w:rPr>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t>OR</w:t>
            </w:r>
          </w:p>
          <w:p>
            <w:pPr>
              <w:pStyle w:val="Normal"/>
              <w:spacing w:lineRule="auto" w:line="240" w:before="0" w:after="0"/>
              <w:jc w:val="both"/>
              <w:rPr>
                <w:rFonts w:ascii="Arial" w:hAnsi="Arial" w:cs="Arial"/>
                <w:color w:val="1F1F1F"/>
                <w:sz w:val="20"/>
                <w:szCs w:val="20"/>
                <w:u w:val="single"/>
              </w:rPr>
            </w:pPr>
            <w:r>
              <w:rPr>
                <w:rFonts w:cs="Arial" w:ascii="Arial" w:hAnsi="Arial"/>
                <w:color w:val="1F1F1F"/>
                <w:sz w:val="20"/>
                <w:szCs w:val="20"/>
                <w:u w:val="single"/>
              </w:rPr>
            </w:r>
          </w:p>
          <w:p>
            <w:pPr>
              <w:pStyle w:val="Normal"/>
              <w:spacing w:lineRule="auto" w:line="240" w:before="0" w:after="0"/>
              <w:jc w:val="both"/>
              <w:rPr>
                <w:rStyle w:val="InternetLink"/>
                <w:rFonts w:ascii="Arial" w:hAnsi="Arial" w:cs="Arial"/>
                <w:b/>
                <w:b/>
                <w:sz w:val="20"/>
                <w:szCs w:val="20"/>
              </w:rPr>
            </w:pPr>
            <w:r>
              <w:rPr>
                <w:rFonts w:cs="Arial" w:ascii="Arial" w:hAnsi="Arial"/>
                <w:color w:val="1F1F1F"/>
                <w:sz w:val="20"/>
                <w:szCs w:val="20"/>
              </w:rPr>
              <w:t>Attach minutes of any consultations performed.</w:t>
            </w:r>
          </w:p>
        </w:tc>
        <w:tc>
          <w:tcPr>
            <w:tcW w:w="1754" w:type="dxa"/>
            <w:tcBorders/>
            <w:shd w:fill="auto" w:val="clear"/>
          </w:tcPr>
          <w:p>
            <w:pPr>
              <w:pStyle w:val="Normal"/>
              <w:spacing w:lineRule="auto" w:line="240" w:before="0" w:after="0"/>
              <w:jc w:val="both"/>
              <w:rPr/>
            </w:pPr>
            <w:r>
              <w:rPr/>
            </w:r>
            <w:bookmarkStart w:id="1" w:name="_GoBack"/>
            <w:bookmarkStart w:id="2" w:name="_GoBack"/>
            <w:bookmarkEnd w:id="2"/>
          </w:p>
        </w:tc>
      </w:tr>
    </w:tbl>
    <w:p>
      <w:pPr>
        <w:pStyle w:val="Normal"/>
        <w:spacing w:lineRule="auto" w:line="240" w:before="240" w:after="160"/>
        <w:jc w:val="both"/>
        <w:rPr>
          <w:rFonts w:ascii="Arial" w:hAnsi="Arial" w:cs="Arial"/>
          <w:b/>
          <w:b/>
          <w:sz w:val="20"/>
          <w:szCs w:val="20"/>
        </w:rPr>
      </w:pPr>
      <w:r>
        <w:rPr>
          <w:rFonts w:cs="Arial" w:ascii="Arial" w:hAnsi="Arial"/>
          <w:b/>
          <w:sz w:val="20"/>
          <w:szCs w:val="20"/>
        </w:rPr>
      </w:r>
    </w:p>
    <w:p>
      <w:pPr>
        <w:pStyle w:val="Normal"/>
        <w:spacing w:lineRule="auto" w:line="240" w:before="240" w:after="160"/>
        <w:jc w:val="both"/>
        <w:rPr/>
      </w:pPr>
      <w:r>
        <w:rPr/>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auto"/>
    <w:pitch w:val="default"/>
  </w:font>
  <w:font w:name="Wingdings">
    <w:charset w:val="02"/>
    <w:family w:val="auto"/>
    <w:pitch w:val="default"/>
  </w:font>
  <w:font w:name="Symbol">
    <w:charset w:val="02"/>
    <w:family w:val="auto"/>
    <w:pitch w:val="default"/>
  </w:font>
  <w:font w:name="Courier New">
    <w:charset w:val="01"/>
    <w:family w:val="auto"/>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1268108"/>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3</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4">
              <wp:simplePos x="0" y="0"/>
              <wp:positionH relativeFrom="margin">
                <wp:posOffset>-294640</wp:posOffset>
              </wp:positionH>
              <wp:positionV relativeFrom="paragraph">
                <wp:posOffset>-351790</wp:posOffset>
              </wp:positionV>
              <wp:extent cx="6529070" cy="705485"/>
              <wp:effectExtent l="0" t="0" r="5715" b="0"/>
              <wp:wrapNone/>
              <wp:docPr id="1" name="Group 5"/>
              <a:graphic xmlns:a="http://schemas.openxmlformats.org/drawingml/2006/main">
                <a:graphicData uri="http://schemas.microsoft.com/office/word/2010/wordprocessingGroup">
                  <wpg:wgp>
                    <wpg:cNvGrpSpPr/>
                    <wpg:grpSpPr>
                      <a:xfrm>
                        <a:off x="0" y="0"/>
                        <a:ext cx="6528600" cy="704880"/>
                      </a:xfrm>
                    </wpg:grpSpPr>
                    <wps:wsp>
                      <wps:cNvSpPr/>
                      <wps:spPr>
                        <a:xfrm>
                          <a:off x="0" y="0"/>
                          <a:ext cx="3769920" cy="70488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wps:txbx>
                      <wps:bodyPr anchor="ctr">
                        <a:noAutofit/>
                      </wps:bodyPr>
                    </wps:wsp>
                    <pic:pic xmlns:pic="http://schemas.openxmlformats.org/drawingml/2006/picture">
                      <pic:nvPicPr>
                        <pic:cNvPr id="0" name="Picture 3" descr=""/>
                        <pic:cNvPicPr/>
                      </pic:nvPicPr>
                      <pic:blipFill>
                        <a:blip r:embed="rId1"/>
                        <a:srcRect l="5759" t="28463" r="5649" b="28450"/>
                        <a:stretch/>
                      </pic:blipFill>
                      <pic:spPr>
                        <a:xfrm>
                          <a:off x="5477400" y="71280"/>
                          <a:ext cx="1050840" cy="518760"/>
                        </a:xfrm>
                        <a:prstGeom prst="rect">
                          <a:avLst/>
                        </a:prstGeom>
                        <a:ln>
                          <a:noFill/>
                        </a:ln>
                      </pic:spPr>
                    </pic:pic>
                  </wpg:wgp>
                </a:graphicData>
              </a:graphic>
            </wp:anchor>
          </w:drawing>
        </mc:Choice>
        <mc:Fallback>
          <w:pict>
            <v:group id="shape_0" alt="Group 5" style="position:absolute;margin-left:-23.2pt;margin-top:-27.7pt;width:514.05pt;height:55.5pt" coordorigin="-464,-554" coordsize="10281,1110">
              <v:rect id="shape_0" ID="Text Box 2" fillcolor="white" stroked="f" style="position:absolute;left:-464;top:-554;width:5936;height:1109;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imes New Roman" w:hAnsi="Times New Roman" w:cs="Times New Roman"/>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imes New Roman" w:hAnsi="Times New Roman" w:cs="Times New Roman"/>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imes New Roman" w:hAnsi="Times New Roman" w:cs="Times New Roman"/>
                        </w:rPr>
                        <w:t>An independent member firm of BKR International</w:t>
                      </w:r>
                    </w:p>
                    <w:p>
                      <w:pPr>
                        <w:overflowPunct w:val="false"/>
                        <w:spacing w:before="0" w:after="0" w:lineRule="auto" w:line="240"/>
                        <w:jc w:val="left"/>
                        <w:rPr/>
                      </w:pPr>
                      <w:r>
                        <w:rPr/>
                      </w:r>
                    </w:p>
                  </w:txbxContent>
                </v:textbox>
                <w10:wrap type="square"/>
                <v:fill o:detectmouseclick="t" type="solid" color2="black"/>
                <v:stroke color="#3465a4" weight="9360" joinstyle="miter"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2;top:-442;width:1654;height:816;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Roman"/>
      <w:lvlText w:val="%2)"/>
      <w:lvlJc w:val="left"/>
      <w:pPr>
        <w:ind w:left="1080" w:hanging="360"/>
      </w:p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92662e"/>
    <w:rPr>
      <w:color w:val="0563C1" w:themeColor="hyperlink"/>
      <w:u w:val="single"/>
    </w:rPr>
  </w:style>
  <w:style w:type="character" w:styleId="FollowedHyperlink">
    <w:name w:val="FollowedHyperlink"/>
    <w:basedOn w:val="DefaultParagraphFont"/>
    <w:uiPriority w:val="99"/>
    <w:semiHidden/>
    <w:unhideWhenUsed/>
    <w:qFormat/>
    <w:rsid w:val="00491fb0"/>
    <w:rPr>
      <w:color w:val="954F72" w:themeColor="followedHyperlink"/>
      <w:u w:val="single"/>
    </w:rPr>
  </w:style>
  <w:style w:type="character" w:styleId="BalloonTextChar" w:customStyle="1">
    <w:name w:val="Balloon Text Char"/>
    <w:basedOn w:val="DefaultParagraphFont"/>
    <w:link w:val="BalloonText"/>
    <w:uiPriority w:val="99"/>
    <w:semiHidden/>
    <w:qFormat/>
    <w:rsid w:val="00531856"/>
    <w:rPr>
      <w:rFonts w:ascii="Segoe UI" w:hAnsi="Segoe UI" w:cs="Segoe UI"/>
      <w:sz w:val="18"/>
      <w:szCs w:val="18"/>
    </w:rPr>
  </w:style>
  <w:style w:type="character" w:styleId="Annotationreference">
    <w:name w:val="annotation reference"/>
    <w:basedOn w:val="DefaultParagraphFont"/>
    <w:uiPriority w:val="99"/>
    <w:semiHidden/>
    <w:unhideWhenUsed/>
    <w:qFormat/>
    <w:rsid w:val="00737cd3"/>
    <w:rPr>
      <w:sz w:val="16"/>
      <w:szCs w:val="16"/>
    </w:rPr>
  </w:style>
  <w:style w:type="character" w:styleId="CommentTextChar" w:customStyle="1">
    <w:name w:val="Comment Text Char"/>
    <w:basedOn w:val="DefaultParagraphFont"/>
    <w:link w:val="CommentText"/>
    <w:uiPriority w:val="99"/>
    <w:semiHidden/>
    <w:qFormat/>
    <w:rsid w:val="00737cd3"/>
    <w:rPr>
      <w:sz w:val="20"/>
      <w:szCs w:val="20"/>
    </w:rPr>
  </w:style>
  <w:style w:type="character" w:styleId="CommentSubjectChar" w:customStyle="1">
    <w:name w:val="Comment Subject Char"/>
    <w:basedOn w:val="CommentTextChar"/>
    <w:link w:val="CommentSubject"/>
    <w:uiPriority w:val="99"/>
    <w:semiHidden/>
    <w:qFormat/>
    <w:rsid w:val="00737cd3"/>
    <w:rPr>
      <w:b/>
      <w:bCs/>
      <w:sz w:val="20"/>
      <w:szCs w:val="20"/>
    </w:rPr>
  </w:style>
  <w:style w:type="character" w:styleId="HeaderChar" w:customStyle="1">
    <w:name w:val="Header Char"/>
    <w:basedOn w:val="DefaultParagraphFont"/>
    <w:link w:val="Header"/>
    <w:uiPriority w:val="99"/>
    <w:qFormat/>
    <w:rsid w:val="00e23065"/>
    <w:rPr/>
  </w:style>
  <w:style w:type="character" w:styleId="FooterChar" w:customStyle="1">
    <w:name w:val="Footer Char"/>
    <w:basedOn w:val="DefaultParagraphFont"/>
    <w:link w:val="Footer"/>
    <w:uiPriority w:val="99"/>
    <w:qFormat/>
    <w:rsid w:val="00e23065"/>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Calibri" w:cs="Arial"/>
    </w:rPr>
  </w:style>
  <w:style w:type="character" w:styleId="ListLabel7">
    <w:name w:val="ListLabel 7"/>
    <w:qFormat/>
    <w:rPr>
      <w:rFonts w:eastAsia="Calibri" w:cs="Arial"/>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ascii="Arial" w:hAnsi="Arial" w:cs="Arial"/>
      <w:b/>
      <w:sz w:val="20"/>
      <w:szCs w:val="20"/>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9c099c"/>
    <w:pPr>
      <w:spacing w:before="0" w:after="160"/>
      <w:ind w:left="720" w:hanging="0"/>
      <w:contextualSpacing/>
    </w:pPr>
    <w:rPr/>
  </w:style>
  <w:style w:type="paragraph" w:styleId="BalloonText">
    <w:name w:val="Balloon Text"/>
    <w:basedOn w:val="Normal"/>
    <w:link w:val="BalloonTextChar"/>
    <w:uiPriority w:val="99"/>
    <w:semiHidden/>
    <w:unhideWhenUsed/>
    <w:qFormat/>
    <w:rsid w:val="00531856"/>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737cd3"/>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737cd3"/>
    <w:pPr/>
    <w:rPr>
      <w:b/>
      <w:bCs/>
    </w:rPr>
  </w:style>
  <w:style w:type="paragraph" w:styleId="Header">
    <w:name w:val="Header"/>
    <w:basedOn w:val="Normal"/>
    <w:link w:val="HeaderChar"/>
    <w:uiPriority w:val="99"/>
    <w:unhideWhenUsed/>
    <w:rsid w:val="00e2306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2306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b310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39"/>
    <w:rsid w:val="0081610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F:/MZCO/Audit%20Manual/3.%20Completion/1-5%20Concluding%20on%20Preliminary%20Assessments/Concluding%20on%20Preliminary%20Assessments.docx" TargetMode="External"/><Relationship Id="rId3" Type="http://schemas.openxmlformats.org/officeDocument/2006/relationships/hyperlink" Target="../../../../../../../F:/MZCO/Audit%20Manual/3.%20Completion/1-5%20Concluding%20on%20Preliminary%20Assessments/Concluding%20on%20Preliminary%20Assessments.docx"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E7073-F760-415F-887B-B56D876B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TotalTime>
  <Application>LibreOffice/6.1.5.2$Linux_X86_64 LibreOffice_project/10$Build-2</Application>
  <Pages>3</Pages>
  <Words>779</Words>
  <Characters>4484</Characters>
  <CharactersWithSpaces>5206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2022-06-16T07:30:00Z</dcterms:created>
  <dc:creator>Maham Moin</dc:creator>
  <dc:description/>
  <dc:language>en-US</dc:language>
  <cp:lastModifiedBy/>
  <cp:lastPrinted>2022-08-09T22:23:00Z</cp:lastPrinted>
  <dcterms:modified xsi:type="dcterms:W3CDTF">2022-10-04T15:21:25Z</dcterms:modified>
  <cp:revision>83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