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Client:</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rPr/>
            </w:pPr>
            <w:bookmarkStart w:id="0" w:name="__DdeLink__18962_3283385913"/>
            <w:r>
              <w:rPr>
                <w:rFonts w:eastAsia="Calibri" w:cs="Arial" w:ascii="Arial" w:hAnsi="Arial"/>
                <w:b/>
                <w:bCs/>
                <w:sz w:val="20"/>
                <w:szCs w:val="20"/>
              </w:rPr>
              <w:t>$</w:t>
            </w:r>
            <w:bookmarkEnd w:id="0"/>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Period end date: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rPr/>
            </w:pPr>
            <w:r>
              <w:rPr>
                <w:rFonts w:eastAsia="Calibri" w:cs="Arial" w:ascii="Arial" w:hAnsi="Arial"/>
                <w:b/>
                <w:bCs/>
                <w:sz w:val="20"/>
                <w:szCs w:val="20"/>
              </w:rPr>
              <w:t>$</w:t>
            </w:r>
            <w:r>
              <w:rPr>
                <w:rFonts w:eastAsia="Calibri" w:cs="Arial" w:ascii="Arial" w:hAnsi="Arial"/>
                <w:b/>
                <w:bCs/>
                <w:sz w:val="20"/>
                <w:szCs w:val="20"/>
              </w:rPr>
              <w:t>{</w:t>
            </w:r>
            <w:r>
              <w:rPr>
                <w:rFonts w:eastAsia="Calibri" w:cs="Arial" w:ascii="Arial" w:hAnsi="Arial"/>
                <w:b/>
                <w:bCs/>
                <w:sz w:val="20"/>
                <w:szCs w:val="20"/>
              </w:rPr>
              <w:t>start</w:t>
            </w:r>
            <w:r>
              <w:rPr>
                <w:rFonts w:eastAsia="Calibri" w:cs="Arial" w:ascii="Arial" w:hAnsi="Arial"/>
                <w:b/>
                <w:bCs/>
                <w:sz w:val="20"/>
                <w:szCs w:val="20"/>
              </w:rPr>
              <w:t xml:space="preserve">} </w:t>
            </w:r>
            <w:r>
              <w:rPr>
                <w:rFonts w:eastAsia="Calibri" w:cs="Arial" w:ascii="Arial" w:hAnsi="Arial"/>
                <w:b/>
                <w:bCs/>
                <w:sz w:val="20"/>
                <w:szCs w:val="20"/>
              </w:rPr>
              <w:t>- $</w:t>
            </w:r>
            <w:r>
              <w:rPr>
                <w:rFonts w:eastAsia="Calibri" w:cs="Arial" w:ascii="Arial" w:hAnsi="Arial"/>
                <w:b/>
                <w:bCs/>
                <w:sz w:val="20"/>
                <w:szCs w:val="20"/>
              </w:rPr>
              <w:t>{</w:t>
            </w:r>
            <w:r>
              <w:rPr>
                <w:rFonts w:eastAsia="Calibri" w:cs="Arial" w:ascii="Arial" w:hAnsi="Arial"/>
                <w:b/>
                <w:bCs/>
                <w:sz w:val="20"/>
                <w:szCs w:val="20"/>
              </w:rPr>
              <w:t>end</w:t>
            </w:r>
            <w:r>
              <w:rPr>
                <w:rFonts w:eastAsia="Calibri" w:cs="Arial" w:ascii="Arial" w:hAnsi="Arial"/>
                <w:b/>
                <w:bCs/>
                <w:sz w:val="20"/>
                <w:szCs w:val="20"/>
              </w:rPr>
              <w: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EGA title: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*Going Concern</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Ref. no.:</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rPr>
                <w:rFonts w:ascii="Arial" w:hAnsi="Arial" w:eastAsia="Calibri" w:cs="Arial"/>
                <w:b/>
                <w:b/>
                <w:bCs/>
                <w:sz w:val="20"/>
                <w:szCs w:val="20"/>
              </w:rPr>
            </w:pPr>
            <w:r>
              <w:rPr>
                <w:rFonts w:eastAsia="Calibri"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Prepared by:</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pPr>
            <w:r>
              <w:rPr>
                <w:rFonts w:eastAsia="Calibri" w:cs="Arial" w:ascii="Arial" w:hAnsi="Arial"/>
                <w:sz w:val="20"/>
                <w:szCs w:val="20"/>
              </w:rPr>
              <w:t>$</w:t>
            </w:r>
            <w:r>
              <w:rPr>
                <w:rFonts w:eastAsia="Calibri" w:cs="Arial" w:ascii="Arial" w:hAnsi="Arial"/>
                <w:sz w:val="20"/>
                <w:szCs w:val="20"/>
              </w:rPr>
              <w:t>{</w:t>
            </w:r>
            <w:r>
              <w:rPr>
                <w:rFonts w:eastAsia="Calibri" w:cs="Arial" w:ascii="Arial" w:hAnsi="Arial"/>
                <w:sz w:val="20"/>
                <w:szCs w:val="20"/>
              </w:rPr>
              <w:t>user</w:t>
            </w:r>
            <w:r>
              <w:rPr>
                <w:rFonts w:eastAsia="Calibri" w:cs="Arial" w:ascii="Arial" w:hAnsi="Arial"/>
                <w:sz w:val="20"/>
                <w:szCs w:val="20"/>
              </w:rPr>
              <w:t>}</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 xml:space="preserve">Approved by Manager: </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${manager}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Approved by 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bl>
    <w:p>
      <w:pPr>
        <w:pStyle w:val="Normal"/>
        <w:spacing w:lineRule="auto" w:line="240" w:before="240" w:after="160"/>
        <w:jc w:val="both"/>
        <w:rPr>
          <w:rFonts w:ascii="Arial" w:hAnsi="Arial" w:cs="Arial"/>
          <w:b/>
          <w:b/>
          <w:sz w:val="20"/>
          <w:szCs w:val="20"/>
        </w:rPr>
      </w:pPr>
      <w:r>
        <w:rPr>
          <w:rFonts w:cs="Arial" w:ascii="Arial" w:hAnsi="Arial"/>
          <w:b/>
          <w:sz w:val="20"/>
          <w:szCs w:val="20"/>
        </w:rPr>
      </w:r>
      <w:bookmarkStart w:id="1" w:name="_GoBack"/>
      <w:bookmarkStart w:id="2" w:name="_GoBack"/>
      <w:bookmarkEnd w:id="2"/>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5851"/>
        <w:gridCol w:w="1754"/>
        <w:gridCol w:w="1755"/>
      </w:tblGrid>
      <w:tr>
        <w:trPr/>
        <w:tc>
          <w:tcPr>
            <w:tcW w:w="5851"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Procedures performed</w:t>
            </w:r>
          </w:p>
        </w:tc>
        <w:tc>
          <w:tcPr>
            <w:tcW w:w="1754"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1755"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rHeight w:val="1267" w:hRule="atLeast"/>
        </w:trPr>
        <w:tc>
          <w:tcPr>
            <w:tcW w:w="5851" w:type="dxa"/>
            <w:vMerge w:val="restart"/>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As part of the risk assessment procedures and related activities performed during the understanding phase, the engagement team performed risk assessment procedures and related activities to determine whether events or conditions exist that may cast significant doubt on the entity’s ability to continue as a going concern. In doing so, the engagement team determined whether management has performed a preliminary assessment of the entity’s ability to continue as a going concern, and:</w:t>
            </w:r>
          </w:p>
          <w:p>
            <w:pPr>
              <w:pStyle w:val="ListParagraph"/>
              <w:numPr>
                <w:ilvl w:val="1"/>
                <w:numId w:val="1"/>
              </w:numPr>
              <w:spacing w:lineRule="auto" w:line="240" w:before="0" w:after="0"/>
              <w:ind w:left="697" w:hanging="360"/>
              <w:contextualSpacing/>
              <w:jc w:val="both"/>
              <w:rPr>
                <w:rFonts w:ascii="Arial" w:hAnsi="Arial" w:cs="Arial"/>
                <w:sz w:val="20"/>
                <w:szCs w:val="20"/>
              </w:rPr>
            </w:pPr>
            <w:r>
              <w:rPr>
                <w:rFonts w:cs="Arial" w:ascii="Arial" w:hAnsi="Arial"/>
                <w:sz w:val="20"/>
                <w:szCs w:val="20"/>
              </w:rPr>
              <w:t xml:space="preserve">If such an assessment had been performed, the engagement team discussed the assessment with management and determined whether management has identified events or conditions that, individually or collectively, may cast significant doubt on the entity’s ability to continue as a going concern and, if so, management’s plans to address them; or </w:t>
            </w:r>
          </w:p>
          <w:p>
            <w:pPr>
              <w:pStyle w:val="ListParagraph"/>
              <w:numPr>
                <w:ilvl w:val="1"/>
                <w:numId w:val="1"/>
              </w:numPr>
              <w:spacing w:lineRule="auto" w:line="240" w:before="0" w:after="0"/>
              <w:ind w:left="697" w:hanging="360"/>
              <w:contextualSpacing/>
              <w:jc w:val="both"/>
              <w:rPr>
                <w:rFonts w:ascii="Arial" w:hAnsi="Arial" w:cs="Arial"/>
                <w:sz w:val="20"/>
                <w:szCs w:val="20"/>
              </w:rPr>
            </w:pPr>
            <w:r>
              <w:rPr>
                <w:rFonts w:cs="Arial" w:ascii="Arial" w:hAnsi="Arial"/>
                <w:sz w:val="20"/>
                <w:szCs w:val="20"/>
              </w:rPr>
              <w:t>If such an assessment had not been performed, the engagement team discussed with management the basis for the intended use of the going concern basis of accounting, and inquired of management whether events or conditions exist that, individually or collectively, may cast significant doubt on the entity’s ability to continue as a going concern.</w:t>
            </w:r>
          </w:p>
        </w:tc>
        <w:tc>
          <w:tcPr>
            <w:tcW w:w="1754" w:type="dxa"/>
            <w:vMerge w:val="restart"/>
            <w:tcBorders/>
            <w:shd w:fill="auto" w:val="clear"/>
          </w:tcPr>
          <w:p>
            <w:pPr>
              <w:pStyle w:val="Normal"/>
              <w:spacing w:lineRule="auto" w:line="240" w:before="0" w:after="0"/>
              <w:jc w:val="both"/>
              <w:rPr/>
            </w:pPr>
            <w:hyperlink r:id="rId2">
              <w:r>
                <w:rPr>
                  <w:rStyle w:val="InternetLink"/>
                  <w:rFonts w:cs="Arial" w:ascii="Arial" w:hAnsi="Arial"/>
                  <w:b/>
                  <w:sz w:val="20"/>
                  <w:szCs w:val="20"/>
                </w:rPr>
                <w:t>Going Concern Assessment.docx</w:t>
              </w:r>
            </w:hyperlink>
          </w:p>
          <w:p>
            <w:pPr>
              <w:pStyle w:val="Normal"/>
              <w:spacing w:lineRule="auto" w:line="240" w:before="0" w:after="0"/>
              <w:jc w:val="both"/>
              <w:rPr>
                <w:rFonts w:ascii="Arial" w:hAnsi="Arial" w:cs="Arial"/>
                <w:sz w:val="20"/>
                <w:szCs w:val="20"/>
              </w:rPr>
            </w:pPr>
            <w:r>
              <w:rPr>
                <w:rFonts w:cs="Arial" w:ascii="Arial" w:hAnsi="Arial"/>
                <w:sz w:val="20"/>
                <w:szCs w:val="20"/>
              </w:rPr>
            </w:r>
          </w:p>
        </w:tc>
        <w:tc>
          <w:tcPr>
            <w:tcW w:w="1755" w:type="dxa"/>
            <w:tcBorders>
              <w:top w:val="nil"/>
              <w:bottom w:val="nil"/>
              <w:insideH w:val="nil"/>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851" w:type="dxa"/>
            <w:vMerge w:val="continue"/>
            <w:tcBorders/>
            <w:shd w:fill="auto" w:val="clear"/>
          </w:tcPr>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r>
          </w:p>
        </w:tc>
        <w:tc>
          <w:tcPr>
            <w:tcW w:w="1754"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755" w:type="dxa"/>
            <w:tcBorders>
              <w:top w:val="nil"/>
            </w:tcBorders>
            <w:shd w:fill="auto" w:val="clear"/>
          </w:tcPr>
          <w:p>
            <w:pPr>
              <w:pStyle w:val="Normal"/>
              <w:spacing w:lineRule="auto" w:line="240" w:before="0" w:after="0"/>
              <w:ind w:left="720" w:hanging="0"/>
              <w:jc w:val="both"/>
              <w:rPr>
                <w:rFonts w:ascii="Arial" w:hAnsi="Arial" w:cs="Arial"/>
                <w:sz w:val="20"/>
                <w:szCs w:val="20"/>
              </w:rPr>
            </w:pPr>
            <w:r>
              <w:rPr>
                <w:rFonts w:cs="Arial" w:ascii="Arial" w:hAnsi="Arial"/>
                <w:sz w:val="20"/>
                <w:szCs w:val="20"/>
              </w:rPr>
            </w:r>
          </w:p>
        </w:tc>
      </w:tr>
      <w:tr>
        <w:trPr/>
        <w:tc>
          <w:tcPr>
            <w:tcW w:w="585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recognized that it shall remain alert throughout the audit for audit evidence of events or conditions that may cast significant doubt on the entity’s ability to continue as a going concern.</w:t>
            </w:r>
          </w:p>
        </w:tc>
        <w:tc>
          <w:tcPr>
            <w:tcW w:w="1754" w:type="dxa"/>
            <w:tcBorders/>
            <w:shd w:fill="auto" w:val="clear"/>
          </w:tcPr>
          <w:p>
            <w:pPr>
              <w:pStyle w:val="Normal"/>
              <w:spacing w:lineRule="auto" w:line="240" w:before="0" w:after="0"/>
              <w:jc w:val="both"/>
              <w:rPr/>
            </w:pPr>
            <w:hyperlink r:id="rId3">
              <w:r>
                <w:rPr>
                  <w:rStyle w:val="InternetLink"/>
                  <w:rFonts w:cs="Arial" w:ascii="Arial" w:hAnsi="Arial"/>
                  <w:b/>
                  <w:sz w:val="20"/>
                  <w:szCs w:val="20"/>
                </w:rPr>
                <w:t>Going Concern Assessment.docx</w:t>
              </w:r>
            </w:hyperlink>
          </w:p>
          <w:p>
            <w:pPr>
              <w:pStyle w:val="Normal"/>
              <w:spacing w:lineRule="auto" w:line="240" w:before="0" w:after="0"/>
              <w:jc w:val="both"/>
              <w:rPr>
                <w:rStyle w:val="InternetLink"/>
                <w:rFonts w:ascii="Arial" w:hAnsi="Arial" w:cs="Arial"/>
                <w:b/>
                <w:b/>
                <w:sz w:val="20"/>
                <w:szCs w:val="20"/>
              </w:rPr>
            </w:pPr>
            <w:r>
              <w:rPr>
                <w:rFonts w:cs="Arial" w:ascii="Arial" w:hAnsi="Arial"/>
                <w:b/>
                <w:sz w:val="20"/>
                <w:szCs w:val="20"/>
              </w:rPr>
            </w:r>
          </w:p>
        </w:tc>
        <w:tc>
          <w:tcPr>
            <w:tcW w:w="175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85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evaluated management’s assessment of the entity’s ability to continue as a going concern and: </w:t>
            </w:r>
          </w:p>
          <w:p>
            <w:pPr>
              <w:pStyle w:val="ListParagraph"/>
              <w:numPr>
                <w:ilvl w:val="1"/>
                <w:numId w:val="1"/>
              </w:numPr>
              <w:spacing w:lineRule="auto" w:line="240" w:before="0" w:after="0"/>
              <w:ind w:left="697" w:hanging="360"/>
              <w:contextualSpacing/>
              <w:jc w:val="both"/>
              <w:rPr>
                <w:rFonts w:ascii="Arial" w:hAnsi="Arial" w:cs="Arial"/>
                <w:sz w:val="20"/>
                <w:szCs w:val="20"/>
              </w:rPr>
            </w:pPr>
            <w:r>
              <w:rPr>
                <w:rFonts w:cs="Arial" w:ascii="Arial" w:hAnsi="Arial"/>
                <w:sz w:val="20"/>
                <w:szCs w:val="20"/>
              </w:rPr>
              <w:t>Covered the same period as that used by management to make its assessment as required by the applicable financial reporting framework, or by law or regulation if it specified a longer period. If management’s assessment of the entity’s ability to continue as a going concern covered less than twelve months from the date of the financial statements the engagement team requested management to extend its assessment period to at least twelve months from that date.</w:t>
            </w:r>
          </w:p>
          <w:p>
            <w:pPr>
              <w:pStyle w:val="ListParagraph"/>
              <w:numPr>
                <w:ilvl w:val="1"/>
                <w:numId w:val="1"/>
              </w:numPr>
              <w:spacing w:lineRule="auto" w:line="240" w:before="0" w:after="0"/>
              <w:ind w:left="697" w:hanging="360"/>
              <w:contextualSpacing/>
              <w:jc w:val="both"/>
              <w:rPr>
                <w:rFonts w:ascii="Arial" w:hAnsi="Arial" w:cs="Arial"/>
                <w:sz w:val="20"/>
                <w:szCs w:val="20"/>
              </w:rPr>
            </w:pPr>
            <w:r>
              <w:rPr>
                <w:rFonts w:cs="Arial" w:ascii="Arial" w:hAnsi="Arial"/>
                <w:sz w:val="20"/>
                <w:szCs w:val="20"/>
              </w:rPr>
              <w:t>Considered whether management’s assessment includes all relevant information obtained by the engagement team during the audit.</w:t>
            </w:r>
          </w:p>
        </w:tc>
        <w:tc>
          <w:tcPr>
            <w:tcW w:w="1754" w:type="dxa"/>
            <w:tcBorders/>
            <w:shd w:fill="auto" w:val="clear"/>
          </w:tcPr>
          <w:p>
            <w:pPr>
              <w:pStyle w:val="Normal"/>
              <w:spacing w:lineRule="auto" w:line="240" w:before="0" w:after="0"/>
              <w:jc w:val="both"/>
              <w:rPr/>
            </w:pPr>
            <w:hyperlink r:id="rId4">
              <w:r>
                <w:rPr>
                  <w:rStyle w:val="InternetLink"/>
                  <w:rFonts w:cs="Arial" w:ascii="Arial" w:hAnsi="Arial"/>
                  <w:b/>
                  <w:sz w:val="20"/>
                  <w:szCs w:val="20"/>
                </w:rPr>
                <w:t>Going Concern Assessment.docx</w:t>
              </w:r>
            </w:hyperlink>
          </w:p>
          <w:p>
            <w:pPr>
              <w:pStyle w:val="Normal"/>
              <w:spacing w:lineRule="auto" w:line="240" w:before="0" w:after="0"/>
              <w:jc w:val="both"/>
              <w:rPr>
                <w:rFonts w:ascii="Arial" w:hAnsi="Arial" w:cs="Arial"/>
                <w:sz w:val="20"/>
                <w:szCs w:val="20"/>
              </w:rPr>
            </w:pPr>
            <w:r>
              <w:rPr>
                <w:rFonts w:cs="Arial" w:ascii="Arial" w:hAnsi="Arial"/>
                <w:sz w:val="20"/>
                <w:szCs w:val="20"/>
              </w:rPr>
            </w:r>
          </w:p>
        </w:tc>
        <w:tc>
          <w:tcPr>
            <w:tcW w:w="175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85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inquired of management as to its knowledge of events or conditions beyond the period of management’s assessment that may cast significant doubt on the entity’s ability to continue as a going concern.</w:t>
            </w:r>
          </w:p>
        </w:tc>
        <w:tc>
          <w:tcPr>
            <w:tcW w:w="1754" w:type="dxa"/>
            <w:tcBorders/>
            <w:shd w:fill="auto" w:val="clear"/>
          </w:tcPr>
          <w:p>
            <w:pPr>
              <w:pStyle w:val="Normal"/>
              <w:spacing w:lineRule="auto" w:line="240" w:before="0" w:after="0"/>
              <w:jc w:val="both"/>
              <w:rPr/>
            </w:pPr>
            <w:hyperlink r:id="rId5">
              <w:r>
                <w:rPr>
                  <w:rStyle w:val="InternetLink"/>
                  <w:rFonts w:cs="Arial" w:ascii="Arial" w:hAnsi="Arial"/>
                  <w:b/>
                  <w:sz w:val="20"/>
                  <w:szCs w:val="20"/>
                </w:rPr>
                <w:t>Going Concern Assessment.docx</w:t>
              </w:r>
            </w:hyperlink>
          </w:p>
          <w:p>
            <w:pPr>
              <w:pStyle w:val="Normal"/>
              <w:spacing w:lineRule="auto" w:line="240" w:before="0" w:after="0"/>
              <w:jc w:val="both"/>
              <w:rPr>
                <w:rFonts w:ascii="Arial" w:hAnsi="Arial" w:cs="Arial"/>
                <w:sz w:val="20"/>
                <w:szCs w:val="20"/>
              </w:rPr>
            </w:pPr>
            <w:r>
              <w:rPr>
                <w:rFonts w:cs="Arial" w:ascii="Arial" w:hAnsi="Arial"/>
                <w:sz w:val="20"/>
                <w:szCs w:val="20"/>
              </w:rPr>
            </w:r>
          </w:p>
        </w:tc>
        <w:tc>
          <w:tcPr>
            <w:tcW w:w="175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85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included in the audit documentation its consideration of events or conditions that may cast significant doubt on the entity’s ability to continue as going concern and evaluation of management’s assessment of the entity’s ability to continue as going concern. The engagement team also documented any risks identified and assessed. </w:t>
            </w:r>
          </w:p>
        </w:tc>
        <w:tc>
          <w:tcPr>
            <w:tcW w:w="1754" w:type="dxa"/>
            <w:tcBorders/>
            <w:shd w:fill="auto" w:val="clear"/>
          </w:tcPr>
          <w:p>
            <w:pPr>
              <w:pStyle w:val="Normal"/>
              <w:spacing w:lineRule="auto" w:line="240" w:before="0" w:after="0"/>
              <w:jc w:val="both"/>
              <w:rPr/>
            </w:pPr>
            <w:hyperlink r:id="rId6">
              <w:r>
                <w:rPr>
                  <w:rStyle w:val="InternetLink"/>
                  <w:rFonts w:cs="Arial" w:ascii="Arial" w:hAnsi="Arial"/>
                  <w:b/>
                  <w:sz w:val="20"/>
                  <w:szCs w:val="20"/>
                </w:rPr>
                <w:t>Going Concern Assessment.docx</w:t>
              </w:r>
            </w:hyperlink>
          </w:p>
          <w:p>
            <w:pPr>
              <w:pStyle w:val="Normal"/>
              <w:spacing w:lineRule="auto" w:line="240" w:before="0" w:after="0"/>
              <w:jc w:val="both"/>
              <w:rPr>
                <w:rStyle w:val="InternetLink"/>
                <w:rFonts w:ascii="Arial" w:hAnsi="Arial" w:cs="Arial"/>
                <w:b/>
                <w:b/>
                <w:sz w:val="20"/>
                <w:szCs w:val="20"/>
              </w:rPr>
            </w:pPr>
            <w:r>
              <w:rPr>
                <w:rFonts w:cs="Arial" w:ascii="Arial" w:hAnsi="Arial"/>
                <w:b/>
                <w:sz w:val="20"/>
                <w:szCs w:val="20"/>
              </w:rPr>
            </w:r>
          </w:p>
          <w:p>
            <w:pPr>
              <w:pStyle w:val="Normal"/>
              <w:spacing w:lineRule="auto" w:line="240" w:before="0" w:after="0"/>
              <w:jc w:val="both"/>
              <w:rPr/>
            </w:pPr>
            <w:hyperlink r:id="rId7">
              <w:r>
                <w:rPr>
                  <w:rStyle w:val="InternetLink"/>
                  <w:rFonts w:cs="Arial" w:ascii="Arial" w:hAnsi="Arial"/>
                  <w:b/>
                  <w:sz w:val="20"/>
                  <w:szCs w:val="20"/>
                </w:rPr>
                <w:t>Risk Assessment Document.docx</w:t>
              </w:r>
            </w:hyperlink>
          </w:p>
        </w:tc>
        <w:tc>
          <w:tcPr>
            <w:tcW w:w="175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bl>
    <w:p>
      <w:pPr>
        <w:pStyle w:val="Normal"/>
        <w:spacing w:lineRule="auto" w:line="240" w:before="0" w:after="160"/>
        <w:jc w:val="both"/>
        <w:rPr/>
      </w:pPr>
      <w:r>
        <w:rPr/>
      </w:r>
    </w:p>
    <w:sectPr>
      <w:headerReference w:type="default" r:id="rId8"/>
      <w:footerReference w:type="default" r:id="rId9"/>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auto"/>
    <w:pitch w:val="default"/>
  </w:font>
  <w:font w:name="Wingdings">
    <w:charset w:val="02"/>
    <w:family w:val="auto"/>
    <w:pitch w:val="default"/>
  </w:font>
  <w:font w:name="Symbol">
    <w:charset w:val="02"/>
    <w:family w:val="auto"/>
    <w:pitch w:val="default"/>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34003413"/>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2</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3" wp14:anchorId="1699B376">
              <wp:simplePos x="0" y="0"/>
              <wp:positionH relativeFrom="margin">
                <wp:align>center</wp:align>
              </wp:positionH>
              <wp:positionV relativeFrom="paragraph">
                <wp:posOffset>-353060</wp:posOffset>
              </wp:positionV>
              <wp:extent cx="6529705" cy="706120"/>
              <wp:effectExtent l="0" t="0" r="5715" b="0"/>
              <wp:wrapNone/>
              <wp:docPr id="1" name="Group 5"/>
              <a:graphic xmlns:a="http://schemas.openxmlformats.org/drawingml/2006/main">
                <a:graphicData uri="http://schemas.microsoft.com/office/word/2010/wordprocessingGroup">
                  <wpg:wgp>
                    <wpg:cNvGrpSpPr/>
                    <wpg:grpSpPr>
                      <a:xfrm>
                        <a:off x="0" y="0"/>
                        <a:ext cx="6528960" cy="705600"/>
                      </a:xfrm>
                    </wpg:grpSpPr>
                    <wps:wsp>
                      <wps:cNvSpPr/>
                      <wps:spPr>
                        <a:xfrm>
                          <a:off x="0" y="0"/>
                          <a:ext cx="3769920" cy="7056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chor="ctr">
                        <a:noAutofit/>
                      </wps:bodyPr>
                    </wps:wsp>
                    <pic:pic xmlns:pic="http://schemas.openxmlformats.org/drawingml/2006/picture">
                      <pic:nvPicPr>
                        <pic:cNvPr id="0" name="Picture 3" descr=""/>
                        <pic:cNvPicPr/>
                      </pic:nvPicPr>
                      <pic:blipFill>
                        <a:blip r:embed="rId1"/>
                        <a:srcRect l="5759" t="28463" r="5649" b="28450"/>
                        <a:stretch/>
                      </pic:blipFill>
                      <pic:spPr>
                        <a:xfrm>
                          <a:off x="5478840" y="71640"/>
                          <a:ext cx="1050120" cy="519480"/>
                        </a:xfrm>
                        <a:prstGeom prst="rect">
                          <a:avLst/>
                        </a:prstGeom>
                        <a:ln>
                          <a:noFill/>
                        </a:ln>
                      </pic:spPr>
                    </pic:pic>
                  </wpg:wgp>
                </a:graphicData>
              </a:graphic>
            </wp:anchor>
          </w:drawing>
        </mc:Choice>
        <mc:Fallback>
          <w:pict>
            <v:group id="shape_0" alt="Group 5" style="position:absolute;margin-left:-23.05pt;margin-top:-27.8pt;width:514.1pt;height:55.55pt" coordorigin="-461,-556" coordsize="10282,1111">
              <v:rect id="shape_0" fillcolor="white" stroked="f" style="position:absolute;left:-461;top:-556;width:5936;height:1110;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black"/>
                <v:stroke color="#3465a4" weight="93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7;top:-443;width:1653;height:817;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956bb"/>
    <w:pPr>
      <w:widowControl/>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956bb"/>
    <w:rPr>
      <w:color w:val="0563C1" w:themeColor="hyperlink"/>
      <w:u w:val="single"/>
    </w:rPr>
  </w:style>
  <w:style w:type="character" w:styleId="FollowedHyperlink">
    <w:name w:val="FollowedHyperlink"/>
    <w:basedOn w:val="DefaultParagraphFont"/>
    <w:uiPriority w:val="99"/>
    <w:semiHidden/>
    <w:unhideWhenUsed/>
    <w:qFormat/>
    <w:rsid w:val="004b53a4"/>
    <w:rPr>
      <w:color w:val="954F72" w:themeColor="followedHyperlink"/>
      <w:u w:val="single"/>
    </w:rPr>
  </w:style>
  <w:style w:type="character" w:styleId="HeaderChar" w:customStyle="1">
    <w:name w:val="Header Char"/>
    <w:basedOn w:val="DefaultParagraphFont"/>
    <w:link w:val="Header"/>
    <w:uiPriority w:val="99"/>
    <w:qFormat/>
    <w:rsid w:val="00f63b02"/>
    <w:rPr/>
  </w:style>
  <w:style w:type="character" w:styleId="FooterChar" w:customStyle="1">
    <w:name w:val="Footer Char"/>
    <w:basedOn w:val="DefaultParagraphFont"/>
    <w:link w:val="Footer"/>
    <w:uiPriority w:val="99"/>
    <w:qFormat/>
    <w:rsid w:val="00f63b02"/>
    <w:rPr/>
  </w:style>
  <w:style w:type="character" w:styleId="ListLabel1">
    <w:name w:val="ListLabel 1"/>
    <w:qFormat/>
    <w:rPr>
      <w:rFonts w:eastAsia=""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 w:cs=""/>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ascii="Arial" w:hAnsi="Arial" w:cs="Arial"/>
      <w:b/>
      <w:sz w:val="20"/>
      <w:szCs w:val="20"/>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ascii="Arial" w:hAnsi="Arial" w:cs="Arial"/>
      <w:b/>
      <w:sz w:val="20"/>
      <w:szCs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956bb"/>
    <w:pPr>
      <w:spacing w:before="0" w:after="160"/>
      <w:ind w:left="720" w:hanging="0"/>
      <w:contextualSpacing/>
    </w:pPr>
    <w:rPr/>
  </w:style>
  <w:style w:type="paragraph" w:styleId="Default" w:customStyle="1">
    <w:name w:val="Default"/>
    <w:qFormat/>
    <w:rsid w:val="00564bce"/>
    <w:pPr>
      <w:widowControl/>
      <w:bidi w:val="0"/>
      <w:spacing w:lineRule="auto" w:line="240" w:before="0" w:after="0"/>
      <w:jc w:val="left"/>
    </w:pPr>
    <w:rPr>
      <w:rFonts w:ascii="Arial" w:hAnsi="Arial" w:eastAsia="Calibri" w:cs="Arial"/>
      <w:color w:val="000000"/>
      <w:kern w:val="0"/>
      <w:sz w:val="24"/>
      <w:szCs w:val="24"/>
      <w:lang w:val="en-US" w:eastAsia="en-US" w:bidi="ar-SA"/>
    </w:rPr>
  </w:style>
  <w:style w:type="paragraph" w:styleId="Header">
    <w:name w:val="Header"/>
    <w:basedOn w:val="Normal"/>
    <w:link w:val="HeaderChar"/>
    <w:uiPriority w:val="99"/>
    <w:unhideWhenUsed/>
    <w:rsid w:val="00f63b0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63b02"/>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65ec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G:/My%20Drive/MZCO/Audit%20Manual/1.%20Planning/14%20Going%20Concern/Going%20Concern%20Assessment.docx" TargetMode="External"/><Relationship Id="rId3" Type="http://schemas.openxmlformats.org/officeDocument/2006/relationships/hyperlink" Target="../../../../../G:/My%20Drive/MZCO/Audit%20Manual/1.%20Planning/14%20Going%20Concern/Going%20Concern%20Assessment.docx" TargetMode="External"/><Relationship Id="rId4" Type="http://schemas.openxmlformats.org/officeDocument/2006/relationships/hyperlink" Target="../../../../../G:/My%20Drive/MZCO/Audit%20Manual/1.%20Planning/14%20Going%20Concern/Going%20Concern%20Assessment.docx" TargetMode="External"/><Relationship Id="rId5" Type="http://schemas.openxmlformats.org/officeDocument/2006/relationships/hyperlink" Target="../../../../../G:/My%20Drive/MZCO/Audit%20Manual/1.%20Planning/14%20Going%20Concern/Going%20Concern%20Assessment.docx" TargetMode="External"/><Relationship Id="rId6" Type="http://schemas.openxmlformats.org/officeDocument/2006/relationships/hyperlink" Target="../../../../../G:/My%20Drive/MZCO/Audit%20Manual/1.%20Planning/14%20Going%20Concern/Going%20Concern%20Assessment.docx" TargetMode="External"/><Relationship Id="rId7" Type="http://schemas.openxmlformats.org/officeDocument/2006/relationships/hyperlink" Target="../../../../../G:/My%20Drive/MZCO/Audit%20Manual/1.%20Planning/9%20Risk%20Assessment/Risk%20Assessment%20Document.docx"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Application>LibreOffice/6.1.5.2$Linux_X86_64 LibreOffice_project/10$Build-2</Application>
  <Pages>2</Pages>
  <Words>468</Words>
  <Characters>2630</Characters>
  <CharactersWithSpaces>3057</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2022-06-26T09:17:00Z</dcterms:created>
  <dc:creator>Maham Moin</dc:creator>
  <dc:description/>
  <dc:language>en-US</dc:language>
  <cp:lastModifiedBy/>
  <dcterms:modified xsi:type="dcterms:W3CDTF">2022-09-21T15:36:30Z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