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 xml:space="preserve">*Audit Program – Investment Properties </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investment properties.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39"/>
        <w:gridCol w:w="13"/>
        <w:gridCol w:w="1226"/>
        <w:gridCol w:w="7"/>
        <w:gridCol w:w="1232"/>
        <w:gridCol w:w="7"/>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gridSpan w:val="2"/>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5"/>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gridSpan w:val="2"/>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Investment properties are completely and accurately recorded.</w:t>
            </w:r>
          </w:p>
        </w:tc>
        <w:tc>
          <w:tcPr>
            <w:tcW w:w="1252" w:type="dxa"/>
            <w:gridSpan w:val="2"/>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All recorded investment properties actually exist.</w:t>
            </w:r>
          </w:p>
        </w:tc>
        <w:tc>
          <w:tcPr>
            <w:tcW w:w="1252" w:type="dxa"/>
            <w:gridSpan w:val="2"/>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Investment properties recorded are owned by the client and title is also in the name of client.</w:t>
            </w:r>
          </w:p>
        </w:tc>
        <w:tc>
          <w:tcPr>
            <w:tcW w:w="1252" w:type="dxa"/>
            <w:gridSpan w:val="2"/>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Investment properties are recorded at appropriate values.</w:t>
            </w:r>
          </w:p>
        </w:tc>
        <w:tc>
          <w:tcPr>
            <w:tcW w:w="1252" w:type="dxa"/>
            <w:gridSpan w:val="2"/>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Depreciation/impairment/ gain/loss due to change in fair value/ gain/loss on disposal has been appropriately accounted for and disclosed. </w:t>
            </w:r>
          </w:p>
        </w:tc>
        <w:tc>
          <w:tcPr>
            <w:tcW w:w="1252" w:type="dxa"/>
            <w:gridSpan w:val="2"/>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Investment properties are presented and all disclosures have been given in accordance with the Fourth/Fifth Schedules of the Companies Act, 2017 and relevant IAS/IFRS.</w:t>
            </w:r>
          </w:p>
        </w:tc>
        <w:tc>
          <w:tcPr>
            <w:tcW w:w="1239" w:type="dxa"/>
            <w:tcBorders/>
            <w:shd w:fill="auto" w:val="clear"/>
          </w:tcPr>
          <w:p>
            <w:pPr>
              <w:pStyle w:val="Normal"/>
              <w:spacing w:lineRule="auto" w:line="240" w:before="0" w:after="0"/>
              <w:jc w:val="center"/>
              <w:rPr>
                <w:rFonts w:ascii="Arial" w:hAnsi="Arial" w:cs="Arial"/>
                <w:b/>
                <w:b/>
                <w:sz w:val="20"/>
                <w:szCs w:val="20"/>
              </w:rPr>
            </w:pPr>
            <w:r>
              <w:rPr>
                <w:rFonts w:cs="Arial" w:ascii="Arial" w:hAnsi="Arial"/>
                <w:sz w:val="20"/>
                <w:szCs w:val="20"/>
              </w:rPr>
              <w:t>OCALRVU</w:t>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 (depending on the model (cost or fair value) adopted by the client)</w:t>
            </w:r>
          </w:p>
        </w:tc>
        <w:tc>
          <w:tcPr>
            <w:tcW w:w="2478"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82" w:type="dxa"/>
            <w:gridSpan w:val="4"/>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8"/>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4"/>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78" w:type="dxa"/>
            <w:gridSpan w:val="3"/>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78" w:type="dxa"/>
            <w:gridSpan w:val="3"/>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78" w:type="dxa"/>
            <w:gridSpan w:val="3"/>
            <w:tcBorders/>
            <w:shd w:fill="auto" w:val="clear"/>
          </w:tcPr>
          <w:p>
            <w:pPr>
              <w:pStyle w:val="TableParagraph"/>
              <w:spacing w:lineRule="exact" w:line="248"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that proper subsidiary records have been maintained and entries are made in the same on prompt and consistent basis and the same is reconciled with general ledger. Also check that separately identifiable assets like lifts, electric installations and other fixtures etc. are physically verified on periodical basis and any adjustment is accounted for both in subsidiary records and general ledger.</w:t>
            </w:r>
          </w:p>
        </w:tc>
        <w:tc>
          <w:tcPr>
            <w:tcW w:w="2478" w:type="dxa"/>
            <w:gridSpan w:val="3"/>
            <w:tcBorders/>
            <w:shd w:fill="auto" w:val="clear"/>
          </w:tcPr>
          <w:p>
            <w:pPr>
              <w:pStyle w:val="TableParagraph"/>
              <w:spacing w:lineRule="exact" w:line="248"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78" w:type="dxa"/>
            <w:gridSpan w:val="3"/>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78" w:type="dxa"/>
            <w:gridSpan w:val="3"/>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78" w:type="dxa"/>
            <w:gridSpan w:val="3"/>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8"/>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Obtain movement schedule of investment properties and for cost, accumulated depreciation and impairment. Check casting and cross casting of the schedule.</w:t>
            </w:r>
          </w:p>
        </w:tc>
        <w:tc>
          <w:tcPr>
            <w:tcW w:w="2478" w:type="dxa"/>
            <w:gridSpan w:val="3"/>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Trace opening balances from investment properties' subsidiary records, general ledger and last year’s working papers.</w:t>
            </w:r>
          </w:p>
        </w:tc>
        <w:tc>
          <w:tcPr>
            <w:tcW w:w="2478" w:type="dxa"/>
            <w:gridSpan w:val="3"/>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Make a selection of investment properties held by client at year end and ensure that:</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Investment property exists and is held by client.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Remaining useful life appears to be correct.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No new/further impairment is needed.</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For selected additions to investment property during the current period:</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Check authorization and approval.</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bills/invoices and certificates.</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Ensure that expenditure relating to an investment property should be debited to the investment property when it is probable that future economic benefits, in excess of the originally assessed standard of performance of the existing investment property, will flow to the enterprise. All other expenditure should be recognized as an expense in the period in which it is incurred.</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For selected investment property disposed-off during the current period:</w:t>
            </w:r>
          </w:p>
          <w:p>
            <w:pPr>
              <w:pStyle w:val="ListParagraph"/>
              <w:numPr>
                <w:ilvl w:val="0"/>
                <w:numId w:val="12"/>
              </w:numPr>
              <w:spacing w:lineRule="auto" w:line="240" w:beforeAutospacing="1" w:after="160"/>
              <w:jc w:val="both"/>
              <w:rPr>
                <w:rFonts w:ascii="Arial" w:hAnsi="Arial" w:cs="Arial"/>
                <w:sz w:val="20"/>
                <w:szCs w:val="20"/>
              </w:rPr>
            </w:pPr>
            <w:r>
              <w:rPr>
                <w:rFonts w:cs="Arial" w:ascii="Arial" w:hAnsi="Arial"/>
                <w:sz w:val="20"/>
                <w:szCs w:val="20"/>
              </w:rPr>
              <w:t>Check authorization and approval.</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Check documents supporting amounts for which sale was affected e.g. bank statements and/or cash receipts.</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Calculate gain or loss on disposal of investment properties.</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If a client holds property partly held to earn rentals or for capital appreciation and partly held for own use then the property should be classified as investment property only if these portions could be sold separately (or leased out separately under a finance lease) or if an insignificant portion is held for own use. Ensure compliance with the requirements of IAS 40.</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a property is classified as investment property only if its cost may be determined. Under construction properties should not be classified as investment properties.</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 xml:space="preserve">Inspect evidence of ownership e.g. property documents etc. </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To check depreciation expense:</w:t>
            </w:r>
          </w:p>
          <w:p>
            <w:pPr>
              <w:pStyle w:val="ListParagraph"/>
              <w:numPr>
                <w:ilvl w:val="0"/>
                <w:numId w:val="13"/>
              </w:numPr>
              <w:spacing w:lineRule="auto" w:line="240" w:beforeAutospacing="1" w:after="160"/>
              <w:jc w:val="both"/>
              <w:rPr>
                <w:rFonts w:ascii="Arial" w:hAnsi="Arial" w:cs="Arial"/>
                <w:sz w:val="20"/>
                <w:szCs w:val="20"/>
              </w:rPr>
            </w:pPr>
            <w:r>
              <w:rPr>
                <w:rFonts w:cs="Arial" w:ascii="Arial" w:hAnsi="Arial"/>
                <w:sz w:val="20"/>
                <w:szCs w:val="20"/>
              </w:rPr>
              <w:t>Determine the appropriateness and reasonableness of accounting policy and depreciation method, rates and their consistency with prior years.</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Check calculation of depreciation of selected investment properties.</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any subsequent addition should be depreciated over remaining useful life and not simply depreciated by app</w:t>
            </w:r>
            <w:bookmarkStart w:id="1" w:name="_GoBack"/>
            <w:bookmarkEnd w:id="1"/>
            <w:r>
              <w:rPr>
                <w:rFonts w:cs="Arial" w:ascii="Arial" w:hAnsi="Arial"/>
                <w:sz w:val="20"/>
                <w:szCs w:val="20"/>
              </w:rPr>
              <w:t>lying the depreciation rate.</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none of the property is impaired or the recoverable amount of any property is not less than its carrying amount. If the carrying amount of an asset is more than its recoverable amount, that same should be reduced to recoverable amount recognizing the reduction as impairment loss.</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where fair value model has been adopted the fair value of investment property should reflect the actual market state and circumstances as of the balance sheet date, not as of either a past or future date. Any gain and loss due to change in fair value is charged to Profit and Loss.</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valuer's assumptions are reasonable.</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there are no restrictions on the realization of investment property or the remittance of income and proceeds of disposal.</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6"/>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6"/>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7"/>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7"/>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7"/>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5"/>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8"/>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14"/>
              </w:numPr>
              <w:spacing w:lineRule="auto" w:line="240" w:before="0" w:after="0"/>
              <w:contextualSpacing/>
              <w:jc w:val="both"/>
              <w:rPr>
                <w:rFonts w:ascii="Arial" w:hAnsi="Arial" w:cs="Arial"/>
                <w:sz w:val="20"/>
                <w:szCs w:val="20"/>
              </w:rPr>
            </w:pPr>
            <w:r>
              <w:rPr>
                <w:rFonts w:cs="Arial" w:ascii="Arial" w:hAnsi="Arial"/>
                <w:sz w:val="20"/>
                <w:szCs w:val="20"/>
              </w:rPr>
              <w:t>Document logical commercial reasons for major additions and disposals made during the year and check whether the additions are in accordance with the objects of the company.</w:t>
            </w:r>
          </w:p>
        </w:tc>
        <w:tc>
          <w:tcPr>
            <w:tcW w:w="2478" w:type="dxa"/>
            <w:gridSpan w:val="3"/>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4"/>
              </w:numPr>
              <w:spacing w:lineRule="auto" w:line="240" w:beforeAutospacing="1" w:after="0"/>
              <w:jc w:val="both"/>
              <w:rPr>
                <w:rFonts w:ascii="Arial" w:hAnsi="Arial" w:cs="Arial"/>
                <w:sz w:val="20"/>
                <w:szCs w:val="20"/>
              </w:rPr>
            </w:pPr>
            <w:r>
              <w:rPr>
                <w:rFonts w:cs="Arial" w:ascii="Arial" w:hAnsi="Arial"/>
                <w:sz w:val="20"/>
                <w:szCs w:val="20"/>
              </w:rPr>
              <w:t>Assess the appropriateness of depreciation/amortization method and rate in view of the flow of economic benefits and useful life of the properties. Moreover, assess the reasonableness of depreciation expense by applying depreciation rate to closing cost/ carrying value as per the method adopted.</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4"/>
              </w:numPr>
              <w:spacing w:lineRule="auto" w:line="240" w:beforeAutospacing="1" w:after="0"/>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933430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8</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1FBC-551F-49E0-80DD-CF3474A7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Application>LibreOffice/6.1.5.2$Linux_X86_64 LibreOffice_project/10$Build-2</Application>
  <Pages>8</Pages>
  <Words>1834</Words>
  <Characters>10464</Characters>
  <CharactersWithSpaces>12125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2022-09-21T16:11:48Z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