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Investments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investments.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6"/>
        <w:gridCol w:w="1275"/>
        <w:gridCol w:w="1221"/>
        <w:gridCol w:w="8"/>
        <w:gridCol w:w="1223"/>
        <w:gridCol w:w="8"/>
        <w:gridCol w:w="1229"/>
      </w:tblGrid>
      <w:tr>
        <w:trPr>
          <w:trHeight w:val="20" w:hRule="atLeast"/>
        </w:trPr>
        <w:tc>
          <w:tcPr>
            <w:tcW w:w="799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89"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1"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2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Investments are completely and accurately recorded.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investments actually exist.</w:t>
            </w:r>
          </w:p>
        </w:tc>
        <w:tc>
          <w:tcPr>
            <w:tcW w:w="1275"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Investments recorded are owned by the client and title is also in the name of client.</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Investments are recorded at appropriate values.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Dividend income/ interest income/ impairment/ gain/loss due to change in fair value/ gain/loss on disposal has been appropriately accounted for and disclosed. </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2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Investments in subsidiaries/associates were in accordance with laws and regulations.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Laws and Regulations</w:t>
            </w:r>
          </w:p>
        </w:tc>
        <w:tc>
          <w:tcPr>
            <w:tcW w:w="122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Investments are presented and all disclosures have been given in accordance with the Fourth/Fifth Schedules of the Companies Act, 2017 and relevant IAS/IFRS.</w:t>
            </w:r>
          </w:p>
        </w:tc>
        <w:tc>
          <w:tcPr>
            <w:tcW w:w="1275" w:type="dxa"/>
            <w:tcBorders/>
            <w:shd w:fill="auto" w:val="clear"/>
          </w:tcPr>
          <w:p>
            <w:pPr>
              <w:pStyle w:val="TableParagraph"/>
              <w:spacing w:lineRule="atLeast" w:line="250" w:before="0" w:after="0"/>
              <w:jc w:val="center"/>
              <w:rPr>
                <w:rFonts w:ascii="Arial" w:hAnsi="Arial" w:cs="Arial"/>
                <w:sz w:val="20"/>
                <w:szCs w:val="20"/>
              </w:rPr>
            </w:pPr>
            <w:r>
              <w:rPr>
                <w:rFonts w:cs="Arial" w:ascii="Arial" w:hAnsi="Arial"/>
                <w:sz w:val="20"/>
                <w:szCs w:val="20"/>
              </w:rPr>
              <w:t>OCALRVU</w:t>
            </w:r>
          </w:p>
        </w:tc>
        <w:tc>
          <w:tcPr>
            <w:tcW w:w="122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 (depending on the model (cost or fair value) adopted by the client)</w:t>
            </w:r>
          </w:p>
        </w:tc>
        <w:tc>
          <w:tcPr>
            <w:tcW w:w="2496"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8"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4"/>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96"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96" w:type="dxa"/>
            <w:gridSpan w:val="2"/>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proper subsidiary records have been maintained and entries are made in the same on prompt and consistent basis and the same is reconciled with general ledger.</w:t>
            </w:r>
          </w:p>
        </w:tc>
        <w:tc>
          <w:tcPr>
            <w:tcW w:w="2496" w:type="dxa"/>
            <w:gridSpan w:val="2"/>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board’s approval for investments in subsidiaries and associates.</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96"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96"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Obtain movement schedule of investments (shares, TFCs, PIBs etc.) both for number and amounts as well as of accrued income and income earned and received during the year. Check casting and cross casting of the schedule.</w:t>
            </w:r>
          </w:p>
        </w:tc>
        <w:tc>
          <w:tcPr>
            <w:tcW w:w="2496"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Trace opening balances from investments' subsidiary records, general ledger and last year’s working papers.</w:t>
            </w:r>
          </w:p>
        </w:tc>
        <w:tc>
          <w:tcPr>
            <w:tcW w:w="2496"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investment and the policies and procedures used to account for them. Determine whether the accounting treatment is correct and applied consistently.</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investments held by client at year end:</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 xml:space="preserve">Inspect supporting documents to check existence e.g. CDC report, account statements etc. </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Ensure that the recoverable amount is not less that carrying amount, if yes, check whether it is permanent decline and if yes book the impairment.</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additions to investments during the year:</w:t>
            </w:r>
          </w:p>
          <w:p>
            <w:pPr>
              <w:pStyle w:val="ListParagraph"/>
              <w:numPr>
                <w:ilvl w:val="0"/>
                <w:numId w:val="14"/>
              </w:numPr>
              <w:spacing w:lineRule="auto" w:line="240" w:beforeAutospacing="1" w:after="160"/>
              <w:jc w:val="both"/>
              <w:rPr>
                <w:rFonts w:ascii="Arial" w:hAnsi="Arial" w:cs="Arial"/>
                <w:sz w:val="20"/>
                <w:szCs w:val="20"/>
              </w:rPr>
            </w:pPr>
            <w:r>
              <w:rPr>
                <w:rFonts w:cs="Arial" w:ascii="Arial" w:hAnsi="Arial"/>
                <w:sz w:val="20"/>
                <w:szCs w:val="20"/>
              </w:rPr>
              <w:t>Check supporting documents for date of purchase, description and number of shares/units, amount etc. e.g. brokers notes.</w:t>
            </w:r>
          </w:p>
          <w:p>
            <w:pPr>
              <w:pStyle w:val="ListParagraph"/>
              <w:numPr>
                <w:ilvl w:val="0"/>
                <w:numId w:val="14"/>
              </w:numPr>
              <w:spacing w:lineRule="auto" w:line="240" w:before="0" w:after="160"/>
              <w:jc w:val="both"/>
              <w:rPr>
                <w:rFonts w:ascii="Arial" w:hAnsi="Arial" w:cs="Arial"/>
                <w:sz w:val="20"/>
                <w:szCs w:val="20"/>
              </w:rPr>
            </w:pPr>
            <w:r>
              <w:rPr>
                <w:rFonts w:cs="Arial" w:ascii="Arial" w:hAnsi="Arial"/>
                <w:sz w:val="20"/>
                <w:szCs w:val="20"/>
              </w:rPr>
              <w:t>Check the payments from bank statements.</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investments disposed-off during the year:</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Check supporting documents of investments sold for date of disposal, description, number of shares/units, amount etc. e.g. brokers notes.</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 xml:space="preserve">Check the receipts from bank statements. </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Calculate the gain or loss on sale of investment and trace the amount transferred to the profit and loss account.</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Ascertain the nature of each significant investment and check whether they have been correctly classified.</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Check that the computation of valuation of investments in subsidiaries, joint ventures and associates is made as per the accounting policies of the client.</w:t>
            </w:r>
            <w:bookmarkStart w:id="1" w:name="_GoBack"/>
            <w:bookmarkEnd w:id="1"/>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Obtain and re-compute amortization schedule and check its accuracy for fixed interest securities whether purchased at premium or discount.</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Check redemptions of principal during the year and obtain supports to ascertain the overdue installments. Check if such payments were as per the terms of the redemption agreement.</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Re-perform</w:t>
              <w:tab/>
              <w:t>the marked to market valuation of PIBs and TFCs at year end to check the valuation of these securities.</w:t>
            </w:r>
          </w:p>
        </w:tc>
        <w:tc>
          <w:tcPr>
            <w:tcW w:w="2496"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investments, compute market value as under:</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For quoted investments, trace market value from independent published quotations e.g. KSE quotation, MUFAP quotes, account statements, etc.</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For unquoted investments, calculate breakup value of shares from respective company's financial statements.</w:t>
            </w:r>
          </w:p>
        </w:tc>
        <w:tc>
          <w:tcPr>
            <w:tcW w:w="2496"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Check that brokerage expenses are appropriately accounted for.</w:t>
            </w:r>
          </w:p>
        </w:tc>
        <w:tc>
          <w:tcPr>
            <w:tcW w:w="2496"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Where any lien marked on the investments, check the disclosure thereof.</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Perform cut-off at year end.</w:t>
            </w:r>
          </w:p>
        </w:tc>
        <w:tc>
          <w:tcPr>
            <w:tcW w:w="2496"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Obtain the schedule of capital gain earned/ dividend income/ interest income accrued and earned and received during the year.</w:t>
            </w:r>
          </w:p>
        </w:tc>
        <w:tc>
          <w:tcPr>
            <w:tcW w:w="2496"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accrual of dividend income is made only where AGM is held before year end.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proper accounting treatment of bonus share received and right shares subscribed.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Check the accrual of interest and amortization of premium/discount on fixed income securities with the one calculated on IRR basis.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 xml:space="preserve">Make a selection of accruals and examine documents supporting the amounts of investment income and proper deduction of tax thereon (e.g. rates from published quotations, dividend warrants). </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Check for subsequent recovery of investment income accrued at period end.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All investments in subsidiaries and associates should comply with the board's specific approval and in accordance with the requirements of Companies Act, 2017.</w:t>
            </w:r>
          </w:p>
        </w:tc>
        <w:tc>
          <w:tcPr>
            <w:tcW w:w="2496"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Normal"/>
              <w:spacing w:lineRule="auto" w:line="240" w:beforeAutospacing="1" w:after="0"/>
              <w:jc w:val="both"/>
              <w:rPr>
                <w:rFonts w:ascii="Arial" w:hAnsi="Arial" w:cs="Arial"/>
                <w:sz w:val="20"/>
                <w:szCs w:val="20"/>
              </w:rPr>
            </w:pPr>
            <w:r>
              <w:rPr>
                <w:rFonts w:cs="Arial" w:ascii="Arial" w:hAnsi="Arial"/>
                <w:b/>
                <w:sz w:val="20"/>
                <w:szCs w:val="20"/>
              </w:rPr>
              <w:t>Test of Details (Derivatives)</w:t>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Obtain a movement schedule of derivatives. Check casting and cross casting of the schedule.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Trace the opening balances from the general ledger,</w:t>
              <w:tab/>
              <w:t>subsidiary records, and last year working papers.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Obtain independent confirmation of holding from custodian.</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Confirm significant terms with the holder of, or counterparty to, the derivative; and inspect underlying agreements and other forms of supporting documentation, in paper or electronic form.</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Check that the computation of valuation of derivatives is made as per the accounting policies of the client.</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Obtain evidence corroborating the fair value of derivatives measured or disclosed at fair value and check that the model and assumptions used in valuation of derivatives is appropriate.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Check for existence of embedded derivatives and ensure compliance with the requirements of IFRS 9.</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Where derivative is designated as a hedging instrument, obtain hedge documentation prepared at inception of hedge and check whether it meets the criteria of eligible hedging instrument. Also check whether the hedge was effective during the year.</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7"/>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96"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96"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Document logical commercial reasons for major additions and disposals made during the year. </w:t>
            </w:r>
          </w:p>
        </w:tc>
        <w:tc>
          <w:tcPr>
            <w:tcW w:w="249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c>
          <w:tcPr>
            <w:tcW w:w="2468" w:type="dxa"/>
            <w:gridSpan w:val="4"/>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Compare current year balances and income and expense with last year amounts and ensure that any significant variation should be properly and logically reasoned.</w:t>
            </w:r>
          </w:p>
        </w:tc>
        <w:tc>
          <w:tcPr>
            <w:tcW w:w="2496"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68"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488711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2"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3870-56B8-4F59-A0F8-241EEB58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Application>LibreOffice/6.1.5.2$Linux_X86_64 LibreOffice_project/10$Build-2</Application>
  <Pages>11</Pages>
  <Words>2745</Words>
  <Characters>15856</Characters>
  <CharactersWithSpaces>18345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2022-09-21T16:12:22Z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