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cs="Arial"/>
                <w:b/>
                <w:b/>
                <w:bCs/>
                <w:sz w:val="20"/>
                <w:szCs w:val="20"/>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t>*Journal Entries Testing</w:t>
            </w:r>
            <w:bookmarkStart w:id="1" w:name="_GoBack"/>
            <w:bookmarkEnd w:id="1"/>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789"/>
        <w:gridCol w:w="1784"/>
        <w:gridCol w:w="1787"/>
      </w:tblGrid>
      <w:tr>
        <w:trPr/>
        <w:tc>
          <w:tcPr>
            <w:tcW w:w="5789" w:type="dxa"/>
            <w:tcBorders/>
            <w:shd w:color="auto" w:fill="8EAADB" w:themeFill="accent5" w:themeFillTint="99" w:val="clear"/>
          </w:tcPr>
          <w:p>
            <w:pPr>
              <w:pStyle w:val="Normal"/>
              <w:spacing w:lineRule="auto" w:line="240" w:before="240" w:after="0"/>
              <w:jc w:val="both"/>
              <w:rPr>
                <w:rFonts w:ascii="Arial" w:hAnsi="Arial" w:cs="Arial"/>
                <w:b/>
                <w:b/>
                <w:sz w:val="20"/>
                <w:szCs w:val="24"/>
              </w:rPr>
            </w:pPr>
            <w:r>
              <w:rPr>
                <w:rFonts w:cs="Arial" w:ascii="Arial" w:hAnsi="Arial"/>
                <w:b/>
                <w:sz w:val="20"/>
                <w:szCs w:val="24"/>
              </w:rPr>
              <w:t>Procedures performed</w:t>
            </w:r>
          </w:p>
        </w:tc>
        <w:tc>
          <w:tcPr>
            <w:tcW w:w="1784" w:type="dxa"/>
            <w:tcBorders/>
            <w:shd w:color="auto" w:fill="8EAADB" w:themeFill="accent5" w:themeFillTint="99" w:val="clear"/>
          </w:tcPr>
          <w:p>
            <w:pPr>
              <w:pStyle w:val="Normal"/>
              <w:spacing w:lineRule="auto" w:line="240" w:before="240" w:after="0"/>
              <w:jc w:val="both"/>
              <w:rPr>
                <w:rFonts w:ascii="Arial" w:hAnsi="Arial" w:cs="Arial"/>
                <w:b/>
                <w:b/>
                <w:sz w:val="20"/>
                <w:szCs w:val="24"/>
              </w:rPr>
            </w:pPr>
            <w:r>
              <w:rPr>
                <w:rFonts w:cs="Arial" w:ascii="Arial" w:hAnsi="Arial"/>
                <w:b/>
                <w:sz w:val="20"/>
                <w:szCs w:val="24"/>
              </w:rPr>
              <w:t>Links</w:t>
            </w:r>
          </w:p>
        </w:tc>
        <w:tc>
          <w:tcPr>
            <w:tcW w:w="1787" w:type="dxa"/>
            <w:tcBorders/>
            <w:shd w:color="auto" w:fill="8EAADB" w:themeFill="accent5" w:themeFillTint="99" w:val="clear"/>
          </w:tcPr>
          <w:p>
            <w:pPr>
              <w:pStyle w:val="Normal"/>
              <w:spacing w:lineRule="auto" w:line="240" w:before="240" w:after="0"/>
              <w:jc w:val="both"/>
              <w:rPr>
                <w:rFonts w:ascii="Arial" w:hAnsi="Arial" w:cs="Arial"/>
                <w:b/>
                <w:b/>
                <w:sz w:val="20"/>
                <w:szCs w:val="24"/>
              </w:rPr>
            </w:pPr>
            <w:r>
              <w:rPr>
                <w:rFonts w:cs="Arial" w:ascii="Arial" w:hAnsi="Arial"/>
                <w:b/>
                <w:sz w:val="20"/>
                <w:szCs w:val="24"/>
              </w:rPr>
              <w:t>Ref. no.</w:t>
            </w:r>
          </w:p>
        </w:tc>
      </w:tr>
      <w:tr>
        <w:trPr>
          <w:trHeight w:val="1160" w:hRule="atLeast"/>
        </w:trPr>
        <w:tc>
          <w:tcPr>
            <w:tcW w:w="5789"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performed the following procedures related to journal entry and other adjustments testing:</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Understanding and evaluating the entity's financial reporting process and the controls over journal entries and other adjustments including evaluation of design of controls and determination of whether they have been implemented;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Making inquiries of individuals involved in the financial reporting process about inappropriate or unusual activity relating to the processing of journal entries and other adjustments;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Using professional judgment in determining the nature, timing and extent of testing of journal entries and other adjustments and assessing completeness of the populations of entries subject to testing. </w:t>
            </w:r>
          </w:p>
        </w:tc>
        <w:tc>
          <w:tcPr>
            <w:tcW w:w="1784" w:type="dxa"/>
            <w:vMerge w:val="restart"/>
            <w:tcBorders/>
            <w:shd w:fill="auto" w:val="clear"/>
          </w:tcPr>
          <w:p>
            <w:pPr>
              <w:pStyle w:val="Normal"/>
              <w:spacing w:lineRule="auto" w:line="240" w:before="0" w:after="0"/>
              <w:rPr/>
            </w:pPr>
            <w:hyperlink r:id="rId2">
              <w:r>
                <w:rPr>
                  <w:rStyle w:val="InternetLink"/>
                  <w:rFonts w:cs="Arial" w:ascii="Arial" w:hAnsi="Arial"/>
                  <w:b/>
                  <w:sz w:val="20"/>
                  <w:szCs w:val="20"/>
                </w:rPr>
                <w:t>Journal Entries Testing.xlsx</w:t>
              </w:r>
            </w:hyperlink>
          </w:p>
        </w:tc>
        <w:tc>
          <w:tcPr>
            <w:tcW w:w="1787" w:type="dxa"/>
            <w:vMerge w:val="restart"/>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1160" w:hRule="atLeast"/>
        </w:trPr>
        <w:tc>
          <w:tcPr>
            <w:tcW w:w="5789"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considered testing journal entries and other adjustments made:</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At the end of a reporting period;</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Between the trial balance and financial statements (including, where relevant, consolidation journal entries); and</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Throughout the period under audit.</w:t>
            </w:r>
          </w:p>
        </w:tc>
        <w:tc>
          <w:tcPr>
            <w:tcW w:w="1784" w:type="dxa"/>
            <w:vMerge w:val="continue"/>
            <w:tcBorders/>
            <w:shd w:fill="auto" w:val="clear"/>
          </w:tcPr>
          <w:p>
            <w:pPr>
              <w:pStyle w:val="Normal"/>
              <w:spacing w:lineRule="auto" w:line="240" w:before="0" w:after="0"/>
              <w:rPr>
                <w:rStyle w:val="InternetLink"/>
                <w:rFonts w:ascii="Arial" w:hAnsi="Arial" w:cs="Arial"/>
                <w:b/>
                <w:b/>
                <w:sz w:val="20"/>
                <w:szCs w:val="20"/>
              </w:rPr>
            </w:pPr>
            <w:r>
              <w:rPr>
                <w:rFonts w:cs="Arial" w:ascii="Arial" w:hAnsi="Arial"/>
                <w:b/>
                <w:sz w:val="20"/>
                <w:szCs w:val="20"/>
              </w:rPr>
            </w:r>
          </w:p>
        </w:tc>
        <w:tc>
          <w:tcPr>
            <w:tcW w:w="1787"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674" w:hRule="atLeast"/>
        </w:trPr>
        <w:tc>
          <w:tcPr>
            <w:tcW w:w="5789"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appropriately identified the population for testing, obtained listings of journal entries included in the population and tested for completeness.</w:t>
            </w:r>
          </w:p>
        </w:tc>
        <w:tc>
          <w:tcPr>
            <w:tcW w:w="1784" w:type="dxa"/>
            <w:vMerge w:val="continue"/>
            <w:tcBorders/>
            <w:shd w:fill="auto" w:val="clear"/>
          </w:tcPr>
          <w:p>
            <w:pPr>
              <w:pStyle w:val="Normal"/>
              <w:spacing w:lineRule="auto" w:line="240" w:before="0" w:after="0"/>
              <w:rPr>
                <w:rStyle w:val="InternetLink"/>
                <w:rFonts w:ascii="Arial" w:hAnsi="Arial" w:cs="Arial"/>
                <w:b/>
                <w:b/>
                <w:sz w:val="20"/>
                <w:szCs w:val="20"/>
              </w:rPr>
            </w:pPr>
            <w:r>
              <w:rPr>
                <w:rFonts w:cs="Arial" w:ascii="Arial" w:hAnsi="Arial"/>
                <w:b/>
                <w:sz w:val="20"/>
                <w:szCs w:val="20"/>
              </w:rPr>
            </w:r>
          </w:p>
        </w:tc>
        <w:tc>
          <w:tcPr>
            <w:tcW w:w="1787"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674" w:hRule="atLeast"/>
        </w:trPr>
        <w:tc>
          <w:tcPr>
            <w:tcW w:w="5789"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designed and performed audit procedures to test the appropriateness of journal entries recorded in the general ledger and other adjustments made in the preparation of the financial statements. </w:t>
            </w:r>
          </w:p>
        </w:tc>
        <w:tc>
          <w:tcPr>
            <w:tcW w:w="1784" w:type="dxa"/>
            <w:vMerge w:val="continue"/>
            <w:tcBorders/>
            <w:shd w:fill="auto" w:val="clear"/>
          </w:tcPr>
          <w:p>
            <w:pPr>
              <w:pStyle w:val="Normal"/>
              <w:spacing w:lineRule="auto" w:line="240" w:before="0" w:after="0"/>
              <w:rPr>
                <w:rStyle w:val="InternetLink"/>
                <w:rFonts w:ascii="Arial" w:hAnsi="Arial" w:cs="Arial"/>
                <w:b/>
                <w:b/>
                <w:sz w:val="20"/>
                <w:szCs w:val="20"/>
              </w:rPr>
            </w:pPr>
            <w:r>
              <w:rPr>
                <w:rFonts w:cs="Arial" w:ascii="Arial" w:hAnsi="Arial"/>
                <w:b/>
                <w:sz w:val="20"/>
                <w:szCs w:val="20"/>
              </w:rPr>
            </w:r>
          </w:p>
        </w:tc>
        <w:tc>
          <w:tcPr>
            <w:tcW w:w="1787"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440" w:hRule="atLeast"/>
        </w:trPr>
        <w:tc>
          <w:tcPr>
            <w:tcW w:w="5789"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considered the risk of fraud in the analysis, in particular regarding the risk of management override of controls. The engagement team considered placing additional emphasis on identifying and testing items processed outside the normal course of business.</w:t>
            </w:r>
          </w:p>
        </w:tc>
        <w:tc>
          <w:tcPr>
            <w:tcW w:w="1784" w:type="dxa"/>
            <w:vMerge w:val="continue"/>
            <w:tcBorders/>
            <w:shd w:fill="auto" w:val="clear"/>
          </w:tcPr>
          <w:p>
            <w:pPr>
              <w:pStyle w:val="Normal"/>
              <w:spacing w:lineRule="auto" w:line="240" w:before="0" w:after="0"/>
              <w:rPr>
                <w:rStyle w:val="InternetLink"/>
                <w:rFonts w:ascii="Arial" w:hAnsi="Arial" w:cs="Arial"/>
                <w:b/>
                <w:b/>
                <w:sz w:val="20"/>
                <w:szCs w:val="20"/>
              </w:rPr>
            </w:pPr>
            <w:r>
              <w:rPr>
                <w:rFonts w:cs="Arial" w:ascii="Arial" w:hAnsi="Arial"/>
                <w:b/>
                <w:sz w:val="20"/>
                <w:szCs w:val="20"/>
              </w:rPr>
            </w:r>
          </w:p>
        </w:tc>
        <w:tc>
          <w:tcPr>
            <w:tcW w:w="1787"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674" w:hRule="atLeast"/>
        </w:trPr>
        <w:tc>
          <w:tcPr>
            <w:tcW w:w="5789"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whether the entries examined were corrections of errors in the financial statements of previous periods that were not identified at the time of the prior period audit, and if so, the engagement team considered whether previously reported financial statements should be restated accordingly.</w:t>
            </w:r>
          </w:p>
        </w:tc>
        <w:tc>
          <w:tcPr>
            <w:tcW w:w="1784" w:type="dxa"/>
            <w:vMerge w:val="continue"/>
            <w:tcBorders/>
            <w:shd w:fill="auto" w:val="clear"/>
          </w:tcPr>
          <w:p>
            <w:pPr>
              <w:pStyle w:val="Normal"/>
              <w:spacing w:lineRule="auto" w:line="240" w:before="0" w:after="0"/>
              <w:rPr>
                <w:rStyle w:val="InternetLink"/>
                <w:rFonts w:ascii="Arial" w:hAnsi="Arial" w:cs="Arial"/>
                <w:b/>
                <w:b/>
                <w:sz w:val="20"/>
                <w:szCs w:val="20"/>
              </w:rPr>
            </w:pPr>
            <w:r>
              <w:rPr>
                <w:rFonts w:cs="Arial" w:ascii="Arial" w:hAnsi="Arial"/>
                <w:b/>
                <w:sz w:val="20"/>
                <w:szCs w:val="20"/>
              </w:rPr>
            </w:r>
          </w:p>
        </w:tc>
        <w:tc>
          <w:tcPr>
            <w:tcW w:w="1787"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386" w:hRule="atLeast"/>
        </w:trPr>
        <w:tc>
          <w:tcPr>
            <w:tcW w:w="5789"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appropriately documented matters related to the above and conclusions reached in this regard.</w:t>
            </w:r>
          </w:p>
        </w:tc>
        <w:tc>
          <w:tcPr>
            <w:tcW w:w="1784" w:type="dxa"/>
            <w:vMerge w:val="continue"/>
            <w:tcBorders/>
            <w:shd w:fill="auto" w:val="clear"/>
          </w:tcPr>
          <w:p>
            <w:pPr>
              <w:pStyle w:val="Normal"/>
              <w:spacing w:lineRule="auto" w:line="240" w:before="0" w:after="0"/>
              <w:rPr>
                <w:rStyle w:val="InternetLink"/>
                <w:rFonts w:ascii="Arial" w:hAnsi="Arial" w:cs="Arial"/>
                <w:b/>
                <w:b/>
                <w:sz w:val="20"/>
                <w:szCs w:val="20"/>
              </w:rPr>
            </w:pPr>
            <w:r>
              <w:rPr>
                <w:rFonts w:cs="Arial" w:ascii="Arial" w:hAnsi="Arial"/>
                <w:b/>
                <w:sz w:val="20"/>
                <w:szCs w:val="20"/>
              </w:rPr>
            </w:r>
          </w:p>
        </w:tc>
        <w:tc>
          <w:tcPr>
            <w:tcW w:w="1787"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47577768"/>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ournal%20Entries%20Testing.xlsx"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Application>LibreOffice/6.1.5.2$Linux_X86_64 LibreOffice_project/10$Build-2</Application>
  <Pages>2</Pages>
  <Words>344</Words>
  <Characters>2050</Characters>
  <CharactersWithSpaces>2351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2022-09-21T16:12:51Z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