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Loans and Advances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loans and advances.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6"/>
        <w:gridCol w:w="1275"/>
        <w:gridCol w:w="1221"/>
        <w:gridCol w:w="8"/>
        <w:gridCol w:w="1223"/>
        <w:gridCol w:w="8"/>
        <w:gridCol w:w="1229"/>
      </w:tblGrid>
      <w:tr>
        <w:trPr>
          <w:trHeight w:val="20" w:hRule="atLeast"/>
        </w:trPr>
        <w:tc>
          <w:tcPr>
            <w:tcW w:w="7996"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75"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89" w:type="dxa"/>
            <w:gridSpan w:val="5"/>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96"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75"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29"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1"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2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Loans and advances are completely and accurately recorded.</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loans and advances actually exist.</w:t>
            </w:r>
          </w:p>
        </w:tc>
        <w:tc>
          <w:tcPr>
            <w:tcW w:w="1275"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Loans and advances recorded are the right of the client.</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Loans and advances are recorded at appropriate values and all doubtful and bad balances have been provided for/written off.</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Interest income/ impairment/ provision for the year has been appropriately accounted for and disclosed. </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Loans and advances to associated undertaking were in accordance with laws and regulations.</w:t>
            </w:r>
          </w:p>
        </w:tc>
        <w:tc>
          <w:tcPr>
            <w:tcW w:w="1275" w:type="dxa"/>
            <w:tcBorders/>
            <w:shd w:fill="auto" w:val="clear"/>
          </w:tcPr>
          <w:p>
            <w:pPr>
              <w:pStyle w:val="TableParagraph"/>
              <w:spacing w:lineRule="exact" w:line="234" w:before="0" w:after="0"/>
              <w:jc w:val="center"/>
              <w:rPr>
                <w:rFonts w:ascii="Arial" w:hAnsi="Arial" w:cs="Arial"/>
                <w:w w:val="99"/>
                <w:sz w:val="20"/>
                <w:szCs w:val="20"/>
              </w:rPr>
            </w:pPr>
            <w:r>
              <w:rPr>
                <w:rFonts w:cs="Arial" w:ascii="Arial" w:hAnsi="Arial"/>
                <w:sz w:val="20"/>
                <w:szCs w:val="20"/>
              </w:rPr>
              <w:t>Laws and Regulations</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Loans and advances are presented and all disclosures have been given in accordance with the Fourth/Fifth Schedules of the Companies Act, 2017 and relevant IAS/IFRS.</w:t>
            </w:r>
          </w:p>
        </w:tc>
        <w:tc>
          <w:tcPr>
            <w:tcW w:w="1275" w:type="dxa"/>
            <w:tcBorders/>
            <w:shd w:fill="auto" w:val="clear"/>
          </w:tcPr>
          <w:p>
            <w:pPr>
              <w:pStyle w:val="TableParagraph"/>
              <w:spacing w:lineRule="atLeast" w:line="250" w:before="0" w:after="0"/>
              <w:jc w:val="center"/>
              <w:rPr>
                <w:rFonts w:ascii="Arial" w:hAnsi="Arial" w:cs="Arial"/>
                <w:sz w:val="20"/>
                <w:szCs w:val="20"/>
              </w:rPr>
            </w:pPr>
            <w:r>
              <w:rPr>
                <w:rFonts w:cs="Arial" w:ascii="Arial" w:hAnsi="Arial"/>
                <w:sz w:val="20"/>
                <w:szCs w:val="20"/>
              </w:rPr>
              <w:t>OCALRVU</w:t>
            </w:r>
          </w:p>
        </w:tc>
        <w:tc>
          <w:tcPr>
            <w:tcW w:w="122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96"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68" w:type="dxa"/>
            <w:gridSpan w:val="4"/>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96"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records have been maintained and entries are made in the same on prompt and consistent basis and the same is reconciled with general ledger.</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For</w:t>
              <w:tab/>
              <w:t>selected disbursements made during the year:</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Check authorization and approval of appropriate level of management.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Check that the employee has fulfilled all formalities necessary as per client</w:t>
            </w:r>
            <w:bookmarkStart w:id="1" w:name="_GoBack"/>
            <w:bookmarkEnd w:id="1"/>
            <w:r>
              <w:rPr>
                <w:rFonts w:cs="Arial" w:ascii="Arial" w:hAnsi="Arial"/>
                <w:sz w:val="20"/>
                <w:szCs w:val="20"/>
              </w:rPr>
              <w:t xml:space="preserve"> policy for disbursement of loans and advances.  </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employee-wise movement schedule of principal amount of loans and advances and interest thereon. Check casting and cross casting of the schedule.</w:t>
            </w:r>
          </w:p>
        </w:tc>
        <w:tc>
          <w:tcPr>
            <w:tcW w:w="2496"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loans and advances’ subsidiary records, general ledger and last year’s working papers.</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loan and advance and the policies and procedures used to account for them. Determine whether the accounting treatment is correct and applied consistently.</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 direct confirmations to selected parties. Match responses with the amounts outstanding against each party. Prepare, or have the client prepare, reconciliations of exceptions and trace reconciling items to supporting documents.</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Test check loan agreement and legal documents to verify the terms and conditions of the loans and advances.</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pPr>
            <w:r>
              <w:rPr>
                <w:rFonts w:cs="Arial" w:ascii="Arial" w:hAnsi="Arial"/>
                <w:sz w:val="20"/>
                <w:szCs w:val="20"/>
              </w:rPr>
              <w:t>For selected disbursements made during the year, check disbursements of funds with disbursement register and bank statement.</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repayments made during the year:</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Ensure that date and amount of repayment was accordance with repayment schedule or agreement.</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that recovery of interest is in accordance with the policy (i.e. along with principal or after recovery of full principal, as the case may be).</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receipt of funds with receipt records and bank statement.</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Verify on a test basis deductions from advances to staff from their respective payroll register.</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subsequent recovery and adjustments of loans and advances.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Obtain age-analysis of loans and perform the following:</w:t>
            </w:r>
          </w:p>
          <w:p>
            <w:pPr>
              <w:pStyle w:val="ListParagraph"/>
              <w:numPr>
                <w:ilvl w:val="0"/>
                <w:numId w:val="12"/>
              </w:numPr>
              <w:spacing w:lineRule="auto" w:line="240" w:beforeAutospacing="1" w:after="160"/>
              <w:jc w:val="both"/>
              <w:rPr>
                <w:rFonts w:ascii="Arial" w:hAnsi="Arial" w:cs="Arial"/>
                <w:sz w:val="20"/>
                <w:szCs w:val="20"/>
              </w:rPr>
            </w:pPr>
            <w:r>
              <w:rPr>
                <w:rFonts w:cs="Arial" w:ascii="Arial" w:hAnsi="Arial"/>
                <w:sz w:val="20"/>
                <w:szCs w:val="20"/>
              </w:rPr>
              <w:t>Verify that loans have been classified in correct categories.</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Ensure current maturity has been appropriately calculated and separately disclosed.</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Consider the value of securities available against each loan for the purpose of calculation of provision for doubtful loans and advances.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and re-compute amortization schedule. Ensure that loans and advances should be measured at amortized cost using the effective interest rate method. </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Re-perform calculation of interest income on test basis:</w:t>
            </w:r>
          </w:p>
          <w:p>
            <w:pPr>
              <w:pStyle w:val="ListParagraph"/>
              <w:numPr>
                <w:ilvl w:val="0"/>
                <w:numId w:val="13"/>
              </w:numPr>
              <w:spacing w:lineRule="auto" w:line="240" w:beforeAutospacing="1" w:after="160"/>
              <w:jc w:val="both"/>
              <w:rPr>
                <w:rFonts w:ascii="Arial" w:hAnsi="Arial" w:cs="Arial"/>
                <w:sz w:val="20"/>
                <w:szCs w:val="20"/>
              </w:rPr>
            </w:pPr>
            <w:r>
              <w:rPr>
                <w:rFonts w:cs="Arial" w:ascii="Arial" w:hAnsi="Arial"/>
                <w:sz w:val="20"/>
                <w:szCs w:val="20"/>
              </w:rPr>
              <w:t>Verify rate of interest from agreement/policy.</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Check the number of days for which interest is to be charged.</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Also consider the repayment of loans.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whether interest should be imputed on long term receivables arising during the period.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subsequent recovery of interest income accrued at period end.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none of the loans and advances are impaired or the recoverable amount of a loan or advance is not less than its carrying amount. If the carrying amount of a loan or advance is more than its recoverable amount, then same should be reduced to recoverable amount recognizing the reduction as impairment loss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items stuck-up for considerable period of time, inquire about its status from the management. Compute provisions if required and ask for management representations.</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all loans and advances to associated undertakings are granted after due compliance with legal requirements.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4"/>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4"/>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96"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and income and expense with last year amounts and ensure that any significant variation should be properly and logically reasoned.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212942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8</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82A33-BE1A-450C-B00A-A92D1D96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Application>LibreOffice/6.1.5.2$Linux_X86_64 LibreOffice_project/10$Build-2</Application>
  <Pages>8</Pages>
  <Words>1765</Words>
  <Characters>10055</Characters>
  <CharactersWithSpaces>11641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2022-09-21T16:17:28Z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