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2406"/>
        <w:gridCol w:w="3477"/>
        <w:gridCol w:w="3477"/>
      </w:tblGrid>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Client:</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52" w:before="0" w:after="160"/>
              <w:rPr>
                <w:rFonts w:ascii="Arial" w:hAnsi="Arial" w:eastAsia="Calibri" w:cs="Arial"/>
                <w:b/>
                <w:b/>
                <w:bCs/>
                <w:sz w:val="20"/>
                <w:szCs w:val="20"/>
              </w:rPr>
            </w:pPr>
            <w:r>
              <w:rPr>
                <w:rFonts w:eastAsia="Calibri" w:cs="Arial" w:ascii="Arial" w:hAnsi="Arial"/>
                <w:b/>
                <w:bCs/>
                <w:sz w:val="20"/>
                <w:szCs w:val="20"/>
              </w:rPr>
              <w:t>$(client)</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Period end date:</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52" w:before="0" w:after="160"/>
              <w:rPr>
                <w:rFonts w:ascii="Arial" w:hAnsi="Arial" w:eastAsia="Calibri" w:cs="Arial"/>
                <w:b/>
                <w:b/>
                <w:bCs/>
                <w:sz w:val="20"/>
                <w:szCs w:val="20"/>
              </w:rPr>
            </w:pPr>
            <w:r>
              <w:rPr>
                <w:rFonts w:eastAsia="Calibri" w:cs="Arial" w:ascii="Arial" w:hAnsi="Arial"/>
                <w:b/>
                <w:bCs/>
                <w:sz w:val="20"/>
                <w:szCs w:val="20"/>
              </w:rPr>
              <w:t>$(start) - $(end)</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EGA title:</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rFonts w:ascii="Arial" w:hAnsi="Arial" w:eastAsia="Calibri" w:cs="Arial"/>
                <w:sz w:val="20"/>
                <w:szCs w:val="20"/>
              </w:rPr>
            </w:pPr>
            <w:r>
              <w:rPr>
                <w:rFonts w:eastAsia="Calibri" w:cs="Arial" w:ascii="Arial" w:hAnsi="Arial"/>
                <w:sz w:val="20"/>
                <w:szCs w:val="20"/>
              </w:rPr>
              <w:t>*Materiality</w:t>
            </w:r>
            <w:bookmarkStart w:id="0" w:name="_GoBack"/>
            <w:bookmarkEnd w:id="0"/>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Ref. no.:</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52" w:before="0" w:after="160"/>
              <w:rPr>
                <w:rFonts w:ascii="Arial" w:hAnsi="Arial" w:eastAsia="Calibri" w:cs="Arial"/>
                <w:b/>
                <w:b/>
                <w:bCs/>
                <w:sz w:val="20"/>
                <w:szCs w:val="20"/>
              </w:rPr>
            </w:pPr>
            <w:r>
              <w:rPr>
                <w:rFonts w:eastAsia="Calibri" w:cs="Arial" w:ascii="Arial" w:hAnsi="Arial"/>
                <w:b/>
                <w:bCs/>
                <w:sz w:val="20"/>
                <w:szCs w:val="20"/>
              </w:rPr>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Prepared by:</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rFonts w:ascii="Arial" w:hAnsi="Arial" w:eastAsia="Calibri" w:cs="Arial"/>
                <w:sz w:val="20"/>
                <w:szCs w:val="20"/>
              </w:rPr>
            </w:pPr>
            <w:r>
              <w:rPr>
                <w:rFonts w:eastAsia="Calibri" w:cs="Arial" w:ascii="Arial" w:hAnsi="Arial"/>
                <w:sz w:val="20"/>
                <w:szCs w:val="20"/>
              </w:rPr>
              <w:t>$(user)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sz w:val="20"/>
                <w:szCs w:val="20"/>
              </w:rPr>
            </w:pPr>
            <w:r>
              <w:rPr>
                <w:rFonts w:eastAsia="Calibri" w:cs="Arial" w:ascii="Arial" w:hAnsi="Arial"/>
                <w:b/>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 xml:space="preserve">Approved by Manager: </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rFonts w:ascii="Arial" w:hAnsi="Arial" w:eastAsia="Calibri" w:cs="Arial"/>
                <w:sz w:val="20"/>
                <w:szCs w:val="20"/>
              </w:rPr>
            </w:pPr>
            <w:r>
              <w:rPr>
                <w:rFonts w:eastAsia="Calibri" w:cs="Arial" w:ascii="Arial" w:hAnsi="Arial"/>
                <w:sz w:val="20"/>
                <w:szCs w:val="20"/>
              </w:rPr>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sz w:val="20"/>
                <w:szCs w:val="20"/>
              </w:rPr>
            </w:pPr>
            <w:r>
              <w:rPr>
                <w:rFonts w:eastAsia="Calibri" w:cs="Arial" w:ascii="Arial" w:hAnsi="Arial"/>
                <w:b/>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Approved by Partner: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rFonts w:ascii="Arial" w:hAnsi="Arial" w:eastAsia="Calibri" w:cs="Arial"/>
                <w:sz w:val="20"/>
                <w:szCs w:val="20"/>
              </w:rPr>
            </w:pPr>
            <w:r>
              <w:rPr>
                <w:rFonts w:eastAsia="Calibri" w:cs="Arial" w:ascii="Arial" w:hAnsi="Arial"/>
                <w:sz w:val="20"/>
                <w:szCs w:val="20"/>
              </w:rPr>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sz w:val="20"/>
                <w:szCs w:val="20"/>
              </w:rPr>
            </w:pPr>
            <w:r>
              <w:rPr>
                <w:rFonts w:eastAsia="Calibri" w:cs="Arial" w:ascii="Arial" w:hAnsi="Arial"/>
                <w:b/>
                <w:sz w:val="20"/>
                <w:szCs w:val="20"/>
              </w:rPr>
              <w:t>Date:</w:t>
            </w:r>
          </w:p>
        </w:tc>
      </w:tr>
    </w:tbl>
    <w:p>
      <w:pPr>
        <w:pStyle w:val="Normal"/>
        <w:spacing w:lineRule="auto" w:line="240" w:before="240" w:after="160"/>
        <w:jc w:val="both"/>
        <w:rPr>
          <w:rFonts w:ascii="Arial" w:hAnsi="Arial" w:cs="Arial"/>
          <w:b/>
          <w:b/>
          <w:sz w:val="20"/>
          <w:szCs w:val="20"/>
        </w:rPr>
      </w:pPr>
      <w:r>
        <w:rPr>
          <w:rFonts w:cs="Arial" w:ascii="Arial" w:hAnsi="Arial"/>
          <w:b/>
          <w:sz w:val="20"/>
          <w:szCs w:val="20"/>
        </w:rPr>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5754"/>
        <w:gridCol w:w="1797"/>
        <w:gridCol w:w="1799"/>
      </w:tblGrid>
      <w:tr>
        <w:trPr/>
        <w:tc>
          <w:tcPr>
            <w:tcW w:w="5754"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Procedures performed</w:t>
            </w:r>
          </w:p>
        </w:tc>
        <w:tc>
          <w:tcPr>
            <w:tcW w:w="1797"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Links</w:t>
            </w:r>
          </w:p>
        </w:tc>
        <w:tc>
          <w:tcPr>
            <w:tcW w:w="1799"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Ref. no.</w:t>
            </w:r>
          </w:p>
        </w:tc>
      </w:tr>
      <w:tr>
        <w:trPr/>
        <w:tc>
          <w:tcPr>
            <w:tcW w:w="5754"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determined materiality for the financial statements as a whole.</w:t>
            </w:r>
          </w:p>
        </w:tc>
        <w:tc>
          <w:tcPr>
            <w:tcW w:w="1797" w:type="dxa"/>
            <w:vMerge w:val="restart"/>
            <w:tcBorders/>
            <w:shd w:fill="auto" w:val="clear"/>
          </w:tcPr>
          <w:p>
            <w:pPr>
              <w:pStyle w:val="Normal"/>
              <w:spacing w:lineRule="auto" w:line="240" w:before="0" w:after="0"/>
              <w:rPr/>
            </w:pPr>
            <w:hyperlink r:id="rId2">
              <w:r>
                <w:rPr>
                  <w:rStyle w:val="InternetLink"/>
                  <w:rFonts w:cs="Arial" w:ascii="Arial" w:hAnsi="Arial"/>
                  <w:b/>
                  <w:sz w:val="20"/>
                  <w:szCs w:val="20"/>
                </w:rPr>
                <w:t>Materiality Calculation.xlsx</w:t>
              </w:r>
            </w:hyperlink>
          </w:p>
        </w:tc>
        <w:tc>
          <w:tcPr>
            <w:tcW w:w="1799" w:type="dxa"/>
            <w:vMerge w:val="restart"/>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5754"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Appropriate benchmarks and thresholds were identified and considered and judgment was appropriately used in determining materiality levels. All rationale and judgements applied were documented.</w:t>
            </w:r>
          </w:p>
        </w:tc>
        <w:tc>
          <w:tcPr>
            <w:tcW w:w="1797" w:type="dxa"/>
            <w:vMerge w:val="continue"/>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799" w:type="dxa"/>
            <w:vMerge w:val="continue"/>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5754"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 xml:space="preserve">The engagement team considered whether misstatements in certain items of amounts lower than overall materiality could reasonably be expected to influence users and thus determined the materiality level(s) to be applied to those particular classes of transactions, account balances or disclosures. The reasons were documented. </w:t>
            </w:r>
          </w:p>
        </w:tc>
        <w:tc>
          <w:tcPr>
            <w:tcW w:w="1797" w:type="dxa"/>
            <w:vMerge w:val="continue"/>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799" w:type="dxa"/>
            <w:vMerge w:val="continue"/>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5754"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color w:val="1F1F1F"/>
                <w:sz w:val="20"/>
                <w:szCs w:val="20"/>
              </w:rPr>
              <w:t>An appropriate rationale was used, adequately applied and justified (and documented) in determining the performance materiality.</w:t>
            </w:r>
          </w:p>
        </w:tc>
        <w:tc>
          <w:tcPr>
            <w:tcW w:w="1797" w:type="dxa"/>
            <w:vMerge w:val="continue"/>
            <w:tcBorders/>
            <w:shd w:fill="auto" w:val="clear"/>
          </w:tcPr>
          <w:p>
            <w:pPr>
              <w:pStyle w:val="Normal"/>
              <w:spacing w:lineRule="auto" w:line="240" w:before="0" w:after="0"/>
              <w:jc w:val="both"/>
              <w:rPr>
                <w:rFonts w:ascii="Arial" w:hAnsi="Arial" w:cs="Arial"/>
                <w:color w:val="1F1F1F"/>
                <w:sz w:val="20"/>
                <w:szCs w:val="20"/>
              </w:rPr>
            </w:pPr>
            <w:r>
              <w:rPr>
                <w:rFonts w:cs="Arial" w:ascii="Arial" w:hAnsi="Arial"/>
                <w:color w:val="1F1F1F"/>
                <w:sz w:val="20"/>
                <w:szCs w:val="20"/>
              </w:rPr>
            </w:r>
          </w:p>
        </w:tc>
        <w:tc>
          <w:tcPr>
            <w:tcW w:w="1799" w:type="dxa"/>
            <w:vMerge w:val="continue"/>
            <w:tcBorders/>
            <w:shd w:fill="auto" w:val="clear"/>
          </w:tcPr>
          <w:p>
            <w:pPr>
              <w:pStyle w:val="Normal"/>
              <w:spacing w:lineRule="auto" w:line="240" w:before="0" w:after="0"/>
              <w:jc w:val="both"/>
              <w:rPr>
                <w:rFonts w:ascii="Arial" w:hAnsi="Arial" w:cs="Arial"/>
                <w:color w:val="1F1F1F"/>
                <w:sz w:val="20"/>
                <w:szCs w:val="20"/>
              </w:rPr>
            </w:pPr>
            <w:r>
              <w:rPr>
                <w:rFonts w:cs="Arial" w:ascii="Arial" w:hAnsi="Arial"/>
                <w:color w:val="1F1F1F"/>
                <w:sz w:val="20"/>
                <w:szCs w:val="20"/>
              </w:rPr>
            </w:r>
          </w:p>
        </w:tc>
      </w:tr>
      <w:tr>
        <w:trPr/>
        <w:tc>
          <w:tcPr>
            <w:tcW w:w="5754"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color w:val="1F1F1F"/>
                <w:sz w:val="20"/>
                <w:szCs w:val="20"/>
              </w:rPr>
              <w:t xml:space="preserve">When the engagement team became aware of information during the audit that would have resulted in different levels to have been determined, the materiality levels were appropriately revised. </w:t>
            </w:r>
          </w:p>
        </w:tc>
        <w:tc>
          <w:tcPr>
            <w:tcW w:w="1797" w:type="dxa"/>
            <w:vMerge w:val="continue"/>
            <w:tcBorders/>
            <w:shd w:fill="auto" w:val="clear"/>
          </w:tcPr>
          <w:p>
            <w:pPr>
              <w:pStyle w:val="Normal"/>
              <w:spacing w:lineRule="auto" w:line="240" w:before="0" w:after="0"/>
              <w:jc w:val="both"/>
              <w:rPr>
                <w:rFonts w:ascii="Arial" w:hAnsi="Arial" w:cs="Arial"/>
                <w:color w:val="1F1F1F"/>
                <w:sz w:val="20"/>
                <w:szCs w:val="20"/>
              </w:rPr>
            </w:pPr>
            <w:r>
              <w:rPr>
                <w:rFonts w:cs="Arial" w:ascii="Arial" w:hAnsi="Arial"/>
                <w:color w:val="1F1F1F"/>
                <w:sz w:val="20"/>
                <w:szCs w:val="20"/>
              </w:rPr>
            </w:r>
          </w:p>
        </w:tc>
        <w:tc>
          <w:tcPr>
            <w:tcW w:w="1799" w:type="dxa"/>
            <w:vMerge w:val="continue"/>
            <w:tcBorders/>
            <w:shd w:fill="auto" w:val="clear"/>
          </w:tcPr>
          <w:p>
            <w:pPr>
              <w:pStyle w:val="Normal"/>
              <w:spacing w:lineRule="auto" w:line="240" w:before="0" w:after="0"/>
              <w:jc w:val="both"/>
              <w:rPr>
                <w:rFonts w:ascii="Arial" w:hAnsi="Arial" w:cs="Arial"/>
                <w:color w:val="1F1F1F"/>
                <w:sz w:val="20"/>
                <w:szCs w:val="20"/>
              </w:rPr>
            </w:pPr>
            <w:r>
              <w:rPr>
                <w:rFonts w:cs="Arial" w:ascii="Arial" w:hAnsi="Arial"/>
                <w:color w:val="1F1F1F"/>
                <w:sz w:val="20"/>
                <w:szCs w:val="20"/>
              </w:rPr>
            </w:r>
          </w:p>
        </w:tc>
      </w:tr>
      <w:tr>
        <w:trPr>
          <w:trHeight w:val="2069" w:hRule="atLeast"/>
        </w:trPr>
        <w:tc>
          <w:tcPr>
            <w:tcW w:w="5754"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included in the audit documentation the following amounts and the factors considered in their determination:</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Materiality for the financial statements as a whole;</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If applicable, the materiality level or levels for particular classes of transactions, account balances or disclosures;</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 xml:space="preserve">Performance materiality; and </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Any revision of the above as the audit progressed.</w:t>
            </w:r>
          </w:p>
        </w:tc>
        <w:tc>
          <w:tcPr>
            <w:tcW w:w="1797" w:type="dxa"/>
            <w:vMerge w:val="continue"/>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799" w:type="dxa"/>
            <w:vMerge w:val="continue"/>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bl>
    <w:p>
      <w:pPr>
        <w:pStyle w:val="Normal"/>
        <w:spacing w:lineRule="auto" w:line="240" w:before="0" w:after="160"/>
        <w:rPr/>
      </w:pPr>
      <w:r>
        <w:rPr/>
      </w:r>
    </w:p>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auto"/>
    <w:pitch w:val="default"/>
  </w:font>
  <w:font w:name="Wingdings">
    <w:charset w:val="02"/>
    <w:family w:val="auto"/>
    <w:pitch w:val="default"/>
  </w:font>
  <w:font w:name="Symbol">
    <w:charset w:val="02"/>
    <w:family w:val="auto"/>
    <w:pitch w:val="default"/>
  </w:font>
  <w:font w:name="Courier New">
    <w:charset w:val="01"/>
    <w:family w:val="auto"/>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55225421"/>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1</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2" wp14:anchorId="1699B376">
              <wp:simplePos x="0" y="0"/>
              <wp:positionH relativeFrom="margin">
                <wp:align>center</wp:align>
              </wp:positionH>
              <wp:positionV relativeFrom="paragraph">
                <wp:posOffset>-353695</wp:posOffset>
              </wp:positionV>
              <wp:extent cx="6529070" cy="705485"/>
              <wp:effectExtent l="0" t="0" r="5715" b="0"/>
              <wp:wrapNone/>
              <wp:docPr id="1" name="Group 5"/>
              <a:graphic xmlns:a="http://schemas.openxmlformats.org/drawingml/2006/main">
                <a:graphicData uri="http://schemas.microsoft.com/office/word/2010/wordprocessingGroup">
                  <wpg:wgp>
                    <wpg:cNvGrpSpPr/>
                    <wpg:grpSpPr>
                      <a:xfrm>
                        <a:off x="0" y="0"/>
                        <a:ext cx="6528600" cy="704880"/>
                      </a:xfrm>
                    </wpg:grpSpPr>
                    <wps:wsp>
                      <wps:cNvSpPr/>
                      <wps:spPr>
                        <a:xfrm>
                          <a:off x="0" y="0"/>
                          <a:ext cx="3769920" cy="70488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rPr>
                              <w:t>An independent member firm of BKR International</w:t>
                            </w:r>
                          </w:p>
                          <w:p>
                            <w:pPr>
                              <w:overflowPunct w:val="false"/>
                              <w:spacing w:before="0" w:after="0" w:lineRule="auto" w:line="240"/>
                              <w:jc w:val="left"/>
                              <w:rPr/>
                            </w:pPr>
                            <w:r>
                              <w:rPr/>
                            </w:r>
                          </w:p>
                        </w:txbxContent>
                      </wps:txbx>
                      <wps:bodyPr anchor="ctr">
                        <a:noAutofit/>
                      </wps:bodyPr>
                    </wps:wsp>
                    <pic:pic xmlns:pic="http://schemas.openxmlformats.org/drawingml/2006/picture">
                      <pic:nvPicPr>
                        <pic:cNvPr id="0" name="Picture 3" descr=""/>
                        <pic:cNvPicPr/>
                      </pic:nvPicPr>
                      <pic:blipFill>
                        <a:blip r:embed="rId1"/>
                        <a:srcRect l="5759" t="28463" r="5649" b="28450"/>
                        <a:stretch/>
                      </pic:blipFill>
                      <pic:spPr>
                        <a:xfrm>
                          <a:off x="5477400" y="71280"/>
                          <a:ext cx="1050840" cy="518760"/>
                        </a:xfrm>
                        <a:prstGeom prst="rect">
                          <a:avLst/>
                        </a:prstGeom>
                        <a:ln>
                          <a:noFill/>
                        </a:ln>
                      </pic:spPr>
                    </pic:pic>
                  </wpg:wgp>
                </a:graphicData>
              </a:graphic>
            </wp:anchor>
          </w:drawing>
        </mc:Choice>
        <mc:Fallback>
          <w:pict>
            <v:group id="shape_0" alt="Group 5" style="position:absolute;margin-left:-23.05pt;margin-top:-27.85pt;width:514.05pt;height:55.5pt" coordorigin="-461,-557" coordsize="10281,1110">
              <v:rect id="shape_0" ID="Text Box 2" fillcolor="white" stroked="f" style="position:absolute;left:-461;top:-557;width:5936;height:1109;mso-position-horizontal:center;mso-position-horizontal-relative:margin">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rPr>
                        <w:t>An independent member firm of BKR International</w:t>
                      </w:r>
                    </w:p>
                    <w:p>
                      <w:pPr>
                        <w:overflowPunct w:val="false"/>
                        <w:spacing w:before="0" w:after="0" w:lineRule="auto" w:line="240"/>
                        <w:jc w:val="left"/>
                        <w:rPr/>
                      </w:pPr>
                      <w:r>
                        <w:rPr/>
                      </w:r>
                    </w:p>
                  </w:txbxContent>
                </v:textbox>
                <w10:wrap type="square"/>
                <v:fill o:detectmouseclick="t" type="solid" color2="black"/>
                <v:stroke color="#3465a4" weight="9360" joinstyle="miter"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8165;top:-444;width:1654;height:816;mso-position-horizontal:center;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956bb"/>
    <w:pPr>
      <w:widowControl/>
      <w:bidi w:val="0"/>
      <w:spacing w:lineRule="auto" w:line="254"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3956bb"/>
    <w:rPr>
      <w:color w:val="0563C1" w:themeColor="hyperlink"/>
      <w:u w:val="single"/>
    </w:rPr>
  </w:style>
  <w:style w:type="character" w:styleId="FollowedHyperlink">
    <w:name w:val="FollowedHyperlink"/>
    <w:basedOn w:val="DefaultParagraphFont"/>
    <w:uiPriority w:val="99"/>
    <w:semiHidden/>
    <w:unhideWhenUsed/>
    <w:qFormat/>
    <w:rsid w:val="004b53a4"/>
    <w:rPr>
      <w:color w:val="954F72" w:themeColor="followedHyperlink"/>
      <w:u w:val="single"/>
    </w:rPr>
  </w:style>
  <w:style w:type="character" w:styleId="HeaderChar" w:customStyle="1">
    <w:name w:val="Header Char"/>
    <w:basedOn w:val="DefaultParagraphFont"/>
    <w:link w:val="Header"/>
    <w:uiPriority w:val="99"/>
    <w:qFormat/>
    <w:rsid w:val="00fb26b1"/>
    <w:rPr/>
  </w:style>
  <w:style w:type="character" w:styleId="FooterChar" w:customStyle="1">
    <w:name w:val="Footer Char"/>
    <w:basedOn w:val="DefaultParagraphFont"/>
    <w:link w:val="Footer"/>
    <w:uiPriority w:val="99"/>
    <w:qFormat/>
    <w:rsid w:val="00fb26b1"/>
    <w:rPr/>
  </w:style>
  <w:style w:type="character" w:styleId="ListLabel1">
    <w:name w:val="ListLabel 1"/>
    <w:qFormat/>
    <w:rPr>
      <w:rFonts w:eastAsia=""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 w:cs=""/>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 w:cs=""/>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eastAsia="" w:cs=""/>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ascii="Arial" w:hAnsi="Arial" w:cs="Arial"/>
      <w:b/>
      <w:sz w:val="20"/>
      <w:szCs w:val="20"/>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3956bb"/>
    <w:pPr>
      <w:spacing w:before="0" w:after="160"/>
      <w:ind w:left="720" w:hanging="0"/>
      <w:contextualSpacing/>
    </w:pPr>
    <w:rPr/>
  </w:style>
  <w:style w:type="paragraph" w:styleId="Default" w:customStyle="1">
    <w:name w:val="Default"/>
    <w:qFormat/>
    <w:rsid w:val="00cb2d0d"/>
    <w:pPr>
      <w:widowControl/>
      <w:bidi w:val="0"/>
      <w:spacing w:lineRule="auto" w:line="240" w:before="0" w:after="0"/>
      <w:jc w:val="left"/>
    </w:pPr>
    <w:rPr>
      <w:rFonts w:ascii="Arial" w:hAnsi="Arial" w:cs="Arial" w:eastAsia="Calibri"/>
      <w:color w:val="000000"/>
      <w:kern w:val="0"/>
      <w:sz w:val="24"/>
      <w:szCs w:val="24"/>
      <w:lang w:val="en-US" w:eastAsia="en-US" w:bidi="ar-SA"/>
    </w:rPr>
  </w:style>
  <w:style w:type="paragraph" w:styleId="Header">
    <w:name w:val="Header"/>
    <w:basedOn w:val="Normal"/>
    <w:link w:val="HeaderChar"/>
    <w:uiPriority w:val="99"/>
    <w:unhideWhenUsed/>
    <w:rsid w:val="00fb26b1"/>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fb26b1"/>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042b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G:/My%20Drive/MZCO/Audit%20Manual/1.%20Planning/15%20Materiality/Materiality%20Calculation.xlsx"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TotalTime>
  <Application>LibreOffice/6.1.5.2$Linux_X86_64 LibreOffice_project/10$Build-2</Application>
  <Pages>1</Pages>
  <Words>222</Words>
  <Characters>1349</Characters>
  <CharactersWithSpaces>1536</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2022-06-26T09:17:00Z</dcterms:created>
  <dc:creator>Maham Moin</dc:creator>
  <dc:description/>
  <dc:language>en-US</dc:language>
  <cp:lastModifiedBy/>
  <dcterms:modified xsi:type="dcterms:W3CDTF">2022-09-12T15:22:36Z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