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bookmarkStart w:id="1" w:name="_GoBack"/>
            <w:bookmarkEnd w:id="1"/>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This template is designed to serve as a documentation template for engagement team's review of minutes of meetings of shareholders, directors and other oversight bodies. Engagement team is required to document the matters identified as of potential significance to the audit. The engagement team shall also ensure that the document remains appropriate. </w:t>
      </w:r>
    </w:p>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Minutes Review</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752"/>
        <w:gridCol w:w="1752"/>
        <w:gridCol w:w="1752"/>
        <w:gridCol w:w="1755"/>
        <w:gridCol w:w="2975"/>
        <w:gridCol w:w="2973"/>
      </w:tblGrid>
      <w:tr>
        <w:trPr>
          <w:trHeight w:val="193" w:hRule="atLeast"/>
        </w:trPr>
        <w:tc>
          <w:tcPr>
            <w:tcW w:w="7011" w:type="dxa"/>
            <w:gridSpan w:val="4"/>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bCs/>
                <w:sz w:val="20"/>
                <w:szCs w:val="20"/>
              </w:rPr>
              <w:t>Documentation of meetings</w:t>
            </w:r>
          </w:p>
        </w:tc>
        <w:tc>
          <w:tcPr>
            <w:tcW w:w="5948" w:type="dxa"/>
            <w:gridSpan w:val="2"/>
            <w:tcBorders/>
            <w:shd w:color="auto" w:fill="8EAADB" w:themeFill="accent5" w:themeFillTint="99" w:val="clear"/>
          </w:tcPr>
          <w:p>
            <w:pPr>
              <w:pStyle w:val="Normal"/>
              <w:spacing w:lineRule="auto" w:line="240" w:before="240" w:after="0"/>
              <w:jc w:val="both"/>
              <w:rPr>
                <w:rFonts w:ascii="Arial" w:hAnsi="Arial" w:cs="Arial"/>
                <w:b/>
                <w:b/>
                <w:bCs/>
                <w:sz w:val="20"/>
                <w:szCs w:val="20"/>
              </w:rPr>
            </w:pPr>
            <w:r>
              <w:rPr>
                <w:rFonts w:cs="Arial" w:ascii="Arial" w:hAnsi="Arial"/>
                <w:b/>
                <w:bCs/>
                <w:sz w:val="20"/>
                <w:szCs w:val="20"/>
              </w:rPr>
              <w:t>Documentation of key minutes</w:t>
            </w:r>
          </w:p>
        </w:tc>
      </w:tr>
      <w:tr>
        <w:trPr>
          <w:trHeight w:val="715" w:hRule="atLeast"/>
        </w:trPr>
        <w:tc>
          <w:tcPr>
            <w:tcW w:w="1752"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Meeting date</w:t>
            </w:r>
          </w:p>
        </w:tc>
        <w:tc>
          <w:tcPr>
            <w:tcW w:w="1752"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Meeting type (e.g.  shareholders, directors and other oversight bodies)</w:t>
            </w:r>
          </w:p>
        </w:tc>
        <w:tc>
          <w:tcPr>
            <w:tcW w:w="1752"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Attendees</w:t>
            </w:r>
          </w:p>
        </w:tc>
        <w:tc>
          <w:tcPr>
            <w:tcW w:w="1755"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Leave of absence</w:t>
            </w:r>
          </w:p>
        </w:tc>
        <w:tc>
          <w:tcPr>
            <w:tcW w:w="2975"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Key points noted</w:t>
            </w:r>
          </w:p>
        </w:tc>
        <w:tc>
          <w:tcPr>
            <w:tcW w:w="2973"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Matters of potential significance to the audit</w:t>
            </w:r>
          </w:p>
        </w:tc>
      </w:tr>
      <w:tr>
        <w:trPr>
          <w:trHeight w:val="288" w:hRule="atLeast"/>
        </w:trPr>
        <w:tc>
          <w:tcPr>
            <w:tcW w:w="1752"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[text]</w:t>
            </w:r>
          </w:p>
        </w:tc>
        <w:tc>
          <w:tcPr>
            <w:tcW w:w="1752"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1752"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1755"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2975"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2973"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[text]</w:t>
            </w:r>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277432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00DA77A8">
              <wp:simplePos x="0" y="0"/>
              <wp:positionH relativeFrom="margin">
                <wp:align>right</wp:align>
              </wp:positionH>
              <wp:positionV relativeFrom="paragraph">
                <wp:posOffset>-353060</wp:posOffset>
              </wp:positionV>
              <wp:extent cx="8222615" cy="706120"/>
              <wp:effectExtent l="0" t="0" r="8255" b="0"/>
              <wp:wrapNone/>
              <wp:docPr id="1" name="Group 5"/>
              <a:graphic xmlns:a="http://schemas.openxmlformats.org/drawingml/2006/main">
                <a:graphicData uri="http://schemas.microsoft.com/office/word/2010/wordprocessingGroup">
                  <wpg:wgp>
                    <wpg:cNvGrpSpPr/>
                    <wpg:grpSpPr>
                      <a:xfrm>
                        <a:off x="0" y="0"/>
                        <a:ext cx="8222040" cy="705600"/>
                      </a:xfrm>
                    </wpg:grpSpPr>
                    <wps:wsp>
                      <wps:cNvSpPr/>
                      <wps:spPr>
                        <a:xfrm>
                          <a:off x="0" y="0"/>
                          <a:ext cx="474804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899400" y="71640"/>
                          <a:ext cx="1322640" cy="519480"/>
                        </a:xfrm>
                        <a:prstGeom prst="rect">
                          <a:avLst/>
                        </a:prstGeom>
                        <a:ln>
                          <a:noFill/>
                        </a:ln>
                      </pic:spPr>
                    </pic:pic>
                  </wpg:wgp>
                </a:graphicData>
              </a:graphic>
            </wp:anchor>
          </w:drawing>
        </mc:Choice>
        <mc:Fallback>
          <w:pict>
            <v:group id="shape_0" alt="Group 5" style="position:absolute;margin-left:-9.1pt;margin-top:-27.8pt;width:647.4pt;height:55.55pt" coordorigin="-182,-556" coordsize="12948,1111">
              <v:rect id="shape_0" fillcolor="white" stroked="f" style="position:absolute;left:-182;top:-556;width:7476;height:1110;mso-position-horizontal:right;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83;top:-443;width:2082;height:817;mso-position-horizontal:right;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06f2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22c15"/>
    <w:rPr/>
  </w:style>
  <w:style w:type="character" w:styleId="FooterChar" w:customStyle="1">
    <w:name w:val="Footer Char"/>
    <w:basedOn w:val="DefaultParagraphFont"/>
    <w:link w:val="Footer"/>
    <w:uiPriority w:val="99"/>
    <w:qFormat/>
    <w:rsid w:val="00b22c15"/>
    <w:rPr/>
  </w:style>
  <w:style w:type="character" w:styleId="Heading1Char" w:customStyle="1">
    <w:name w:val="Heading 1 Char"/>
    <w:basedOn w:val="DefaultParagraphFont"/>
    <w:link w:val="Heading1"/>
    <w:uiPriority w:val="9"/>
    <w:qFormat/>
    <w:rsid w:val="00306f23"/>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22c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2c1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23b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LibreOffice/6.1.5.2$Linux_X86_64 LibreOffice_project/10$Build-2</Application>
  <Pages>2</Pages>
  <Words>121</Words>
  <Characters>715</Characters>
  <CharactersWithSpaces>806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2022-07-25T14:03:00Z</dcterms:created>
  <dc:creator>Maham Moin</dc:creator>
  <dc:description/>
  <dc:language>en-US</dc:language>
  <cp:lastModifiedBy/>
  <dcterms:modified xsi:type="dcterms:W3CDTF">2022-09-21T15:42:54Z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