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Other Income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other income.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76"/>
        <w:gridCol w:w="1342"/>
        <w:gridCol w:w="1213"/>
        <w:gridCol w:w="1"/>
        <w:gridCol w:w="1218"/>
        <w:gridCol w:w="1210"/>
      </w:tblGrid>
      <w:tr>
        <w:trPr>
          <w:trHeight w:val="20" w:hRule="atLeast"/>
        </w:trPr>
        <w:tc>
          <w:tcPr>
            <w:tcW w:w="7976"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34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42" w:type="dxa"/>
            <w:gridSpan w:val="4"/>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76"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34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14"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1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10"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7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Other income are completely and accurately recorded.</w:t>
            </w:r>
          </w:p>
        </w:tc>
        <w:tc>
          <w:tcPr>
            <w:tcW w:w="134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14"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other income actually occurred during the year.</w:t>
            </w:r>
          </w:p>
        </w:tc>
        <w:tc>
          <w:tcPr>
            <w:tcW w:w="134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O</w:t>
            </w:r>
          </w:p>
        </w:tc>
        <w:tc>
          <w:tcPr>
            <w:tcW w:w="1214"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Other income are recorded in the correct period and there are no cut-off issues.</w:t>
            </w:r>
          </w:p>
        </w:tc>
        <w:tc>
          <w:tcPr>
            <w:tcW w:w="134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14"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Other income have been appropriately classified in proper head.</w:t>
            </w:r>
          </w:p>
        </w:tc>
        <w:tc>
          <w:tcPr>
            <w:tcW w:w="134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w:t>
            </w:r>
          </w:p>
        </w:tc>
        <w:tc>
          <w:tcPr>
            <w:tcW w:w="1214"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Other income are presented and all disclosures have been given in accordance with the Fourth/Fifth Schedules of the Companies Act, 2017 and relevant IAS/IFRS.</w:t>
            </w:r>
          </w:p>
        </w:tc>
        <w:tc>
          <w:tcPr>
            <w:tcW w:w="134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214"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5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29"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6"/>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7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5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5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5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5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5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For selected investments made by the client check that the investments made are authorized and approved and in accordance with the company’s</w:t>
            </w:r>
            <w:bookmarkStart w:id="1" w:name="_GoBack"/>
            <w:bookmarkEnd w:id="1"/>
            <w:r>
              <w:rPr>
                <w:rFonts w:cs="Arial" w:ascii="Arial" w:hAnsi="Arial"/>
                <w:sz w:val="20"/>
                <w:szCs w:val="20"/>
              </w:rPr>
              <w:t xml:space="preserve"> objects.</w:t>
            </w:r>
          </w:p>
        </w:tc>
        <w:tc>
          <w:tcPr>
            <w:tcW w:w="255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For scrap sales check that the sales are made on the most economic terms and check that procedures are in place to ensure that good material is not transferred to scrap yard.</w:t>
            </w:r>
          </w:p>
        </w:tc>
        <w:tc>
          <w:tcPr>
            <w:tcW w:w="255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5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5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6"/>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7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schedule of all other income for the year. Check casting and computation of the same. </w:t>
            </w:r>
          </w:p>
        </w:tc>
        <w:tc>
          <w:tcPr>
            <w:tcW w:w="255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Inquire about or review the information in prior year working papers to obtain an understanding of other income that may arise over the period. </w:t>
            </w:r>
          </w:p>
        </w:tc>
        <w:tc>
          <w:tcPr>
            <w:tcW w:w="255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Review the results of procedures performed in other accounts for gain/loss on disposal of assets/investment property/investments, interest income, dividend income etc. </w:t>
            </w:r>
          </w:p>
        </w:tc>
        <w:tc>
          <w:tcPr>
            <w:tcW w:w="255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scrap sales, and check for:</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Authorization and approval;</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Receipt of scrap proceeds;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Proper recording of gain.</w:t>
            </w:r>
          </w:p>
        </w:tc>
        <w:tc>
          <w:tcPr>
            <w:tcW w:w="255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5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6"/>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76"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income with last year income and ensure that any significant variation should be properly and logically reasoned.</w:t>
            </w:r>
          </w:p>
        </w:tc>
        <w:tc>
          <w:tcPr>
            <w:tcW w:w="255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29"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80593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F76A-06AE-421C-BC83-D1B04EC7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Application>LibreOffice/6.1.5.2$Linux_X86_64 LibreOffice_project/10$Build-2</Application>
  <Pages>4</Pages>
  <Words>627</Words>
  <Characters>3413</Characters>
  <CharactersWithSpaces>3957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2022-09-21T16:19:08Z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