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5132"/>
        <w:gridCol w:w="8234"/>
        <w:gridCol w:w="8234"/>
      </w:tblGrid>
      <w:tr>
        <w:trPr>
          <w:trHeight w:val="402" w:hRule="atLeast"/>
        </w:trPr>
        <w:tc>
          <w:tcPr>
            <w:tcW w:w="5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Client:</w:t>
            </w:r>
          </w:p>
        </w:tc>
        <w:tc>
          <w:tcPr>
            <w:tcW w:w="1646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jc w:val="both"/>
              <w:rPr/>
            </w:pPr>
            <w:bookmarkStart w:id="0" w:name="__DdeLink__18962_3283385913"/>
            <w:r>
              <w:rPr>
                <w:rFonts w:eastAsia="Calibri" w:cs="Arial" w:ascii="Arial" w:hAnsi="Arial"/>
                <w:b/>
                <w:bCs/>
                <w:color w:val="000000"/>
                <w:sz w:val="20"/>
                <w:szCs w:val="20"/>
              </w:rPr>
              <w:t>$</w:t>
            </w:r>
            <w:bookmarkEnd w:id="0"/>
            <w:r>
              <w:rPr>
                <w:rFonts w:eastAsia="Calibri" w:cs="Arial" w:ascii="Arial" w:hAnsi="Arial"/>
                <w:b/>
                <w:bCs/>
                <w:color w:val="000000"/>
                <w:sz w:val="20"/>
                <w:szCs w:val="20"/>
              </w:rPr>
              <w:t>{client}</w:t>
            </w:r>
          </w:p>
        </w:tc>
      </w:tr>
      <w:tr>
        <w:trPr>
          <w:trHeight w:val="402" w:hRule="atLeast"/>
        </w:trPr>
        <w:tc>
          <w:tcPr>
            <w:tcW w:w="5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Period end date:</w:t>
            </w:r>
          </w:p>
        </w:tc>
        <w:tc>
          <w:tcPr>
            <w:tcW w:w="1646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pPr>
            <w:r>
              <w:rPr>
                <w:rFonts w:eastAsia="Calibri" w:cs="Arial" w:ascii="Arial" w:hAnsi="Arial"/>
                <w:b/>
                <w:bCs/>
                <w:color w:val="000000"/>
                <w:sz w:val="20"/>
                <w:szCs w:val="20"/>
              </w:rPr>
              <w:t>$</w:t>
            </w:r>
            <w:r>
              <w:rPr>
                <w:rFonts w:eastAsia="Calibri" w:cs="Arial" w:ascii="Arial" w:hAnsi="Arial"/>
                <w:b/>
                <w:bCs/>
                <w:color w:val="000000"/>
                <w:sz w:val="20"/>
                <w:szCs w:val="20"/>
              </w:rPr>
              <w:t>{</w:t>
            </w:r>
            <w:r>
              <w:rPr>
                <w:rFonts w:eastAsia="Calibri" w:cs="Arial" w:ascii="Arial" w:hAnsi="Arial"/>
                <w:b/>
                <w:bCs/>
                <w:color w:val="000000"/>
                <w:sz w:val="20"/>
                <w:szCs w:val="20"/>
              </w:rPr>
              <w:t>start</w:t>
            </w:r>
            <w:r>
              <w:rPr>
                <w:rFonts w:eastAsia="Calibri" w:cs="Arial" w:ascii="Arial" w:hAnsi="Arial"/>
                <w:b/>
                <w:bCs/>
                <w:color w:val="000000"/>
                <w:sz w:val="20"/>
                <w:szCs w:val="20"/>
              </w:rPr>
              <w:t xml:space="preserve">} </w:t>
            </w:r>
            <w:r>
              <w:rPr>
                <w:rFonts w:eastAsia="Calibri" w:cs="Arial" w:ascii="Arial" w:hAnsi="Arial"/>
                <w:b/>
                <w:bCs/>
                <w:color w:val="000000"/>
                <w:sz w:val="20"/>
                <w:szCs w:val="20"/>
              </w:rPr>
              <w:t>- $</w:t>
            </w:r>
            <w:r>
              <w:rPr>
                <w:rFonts w:eastAsia="Calibri" w:cs="Arial" w:ascii="Arial" w:hAnsi="Arial"/>
                <w:b/>
                <w:bCs/>
                <w:color w:val="000000"/>
                <w:sz w:val="20"/>
                <w:szCs w:val="20"/>
              </w:rPr>
              <w:t>{</w:t>
            </w:r>
            <w:r>
              <w:rPr>
                <w:rFonts w:eastAsia="Calibri" w:cs="Arial" w:ascii="Arial" w:hAnsi="Arial"/>
                <w:b/>
                <w:bCs/>
                <w:color w:val="000000"/>
                <w:sz w:val="20"/>
                <w:szCs w:val="20"/>
              </w:rPr>
              <w:t>end</w:t>
            </w:r>
            <w:r>
              <w:rPr>
                <w:rFonts w:eastAsia="Calibri" w:cs="Arial" w:ascii="Arial" w:hAnsi="Arial"/>
                <w:b/>
                <w:bCs/>
                <w:color w:val="000000"/>
                <w:sz w:val="20"/>
                <w:szCs w:val="20"/>
              </w:rPr>
              <w:t>}</w:t>
            </w:r>
          </w:p>
        </w:tc>
      </w:tr>
      <w:tr>
        <w:trPr>
          <w:trHeight w:val="402" w:hRule="atLeast"/>
        </w:trPr>
        <w:tc>
          <w:tcPr>
            <w:tcW w:w="5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Ref. no.:</w:t>
            </w:r>
          </w:p>
        </w:tc>
        <w:tc>
          <w:tcPr>
            <w:tcW w:w="1646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r>
          </w:p>
        </w:tc>
      </w:tr>
      <w:tr>
        <w:trPr>
          <w:trHeight w:val="402" w:hRule="atLeast"/>
        </w:trPr>
        <w:tc>
          <w:tcPr>
            <w:tcW w:w="5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Prepared by:</w:t>
            </w:r>
          </w:p>
        </w:tc>
        <w:tc>
          <w:tcPr>
            <w:tcW w:w="82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pPr>
            <w:r>
              <w:rPr>
                <w:rFonts w:eastAsia="Calibri" w:cs="Arial" w:ascii="Arial" w:hAnsi="Arial"/>
                <w:color w:val="000000"/>
                <w:sz w:val="20"/>
                <w:szCs w:val="20"/>
              </w:rPr>
              <w:t>$</w:t>
            </w:r>
            <w:r>
              <w:rPr>
                <w:rFonts w:eastAsia="Calibri" w:cs="Arial" w:ascii="Arial" w:hAnsi="Arial"/>
                <w:color w:val="000000"/>
                <w:sz w:val="20"/>
                <w:szCs w:val="20"/>
              </w:rPr>
              <w:t>{</w:t>
            </w:r>
            <w:r>
              <w:rPr>
                <w:rFonts w:eastAsia="Calibri" w:cs="Arial" w:ascii="Arial" w:hAnsi="Arial"/>
                <w:color w:val="000000"/>
                <w:sz w:val="20"/>
                <w:szCs w:val="20"/>
              </w:rPr>
              <w:t>user</w:t>
            </w:r>
            <w:r>
              <w:rPr>
                <w:rFonts w:eastAsia="Calibri" w:cs="Arial" w:ascii="Arial" w:hAnsi="Arial"/>
                <w:color w:val="000000"/>
                <w:sz w:val="20"/>
                <w:szCs w:val="20"/>
              </w:rPr>
              <w:t>}</w:t>
            </w:r>
          </w:p>
        </w:tc>
        <w:tc>
          <w:tcPr>
            <w:tcW w:w="82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Date:</w:t>
            </w:r>
          </w:p>
        </w:tc>
      </w:tr>
      <w:tr>
        <w:trPr>
          <w:trHeight w:val="402" w:hRule="atLeast"/>
        </w:trPr>
        <w:tc>
          <w:tcPr>
            <w:tcW w:w="5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Approved by Manager:</w:t>
            </w:r>
          </w:p>
        </w:tc>
        <w:tc>
          <w:tcPr>
            <w:tcW w:w="82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sz w:val="20"/>
                <w:szCs w:val="20"/>
              </w:rPr>
            </w:pPr>
            <w:r>
              <w:rPr>
                <w:rFonts w:eastAsia="Calibri" w:cs="Arial" w:ascii="Arial" w:hAnsi="Arial"/>
                <w:color w:val="000000"/>
                <w:sz w:val="20"/>
                <w:szCs w:val="20"/>
              </w:rPr>
              <w:t>${manager}</w:t>
            </w:r>
          </w:p>
        </w:tc>
        <w:tc>
          <w:tcPr>
            <w:tcW w:w="82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Date:</w:t>
            </w:r>
            <w:bookmarkStart w:id="1" w:name="_GoBack"/>
            <w:bookmarkEnd w:id="1"/>
          </w:p>
        </w:tc>
      </w:tr>
      <w:tr>
        <w:trPr>
          <w:trHeight w:val="402" w:hRule="atLeast"/>
        </w:trPr>
        <w:tc>
          <w:tcPr>
            <w:tcW w:w="5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Approved by Partner:</w:t>
            </w:r>
          </w:p>
        </w:tc>
        <w:tc>
          <w:tcPr>
            <w:tcW w:w="82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sz w:val="20"/>
                <w:szCs w:val="20"/>
              </w:rPr>
            </w:pPr>
            <w:r>
              <w:rPr>
                <w:rFonts w:eastAsia="Calibri" w:cs="Arial" w:ascii="Arial" w:hAnsi="Arial"/>
                <w:color w:val="000000"/>
                <w:sz w:val="20"/>
                <w:szCs w:val="20"/>
              </w:rPr>
              <w:t>${partner}</w:t>
            </w:r>
          </w:p>
        </w:tc>
        <w:tc>
          <w:tcPr>
            <w:tcW w:w="82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Date:</w:t>
            </w:r>
          </w:p>
        </w:tc>
      </w:tr>
    </w:tbl>
    <w:p>
      <w:pPr>
        <w:pStyle w:val="Normal"/>
        <w:tabs>
          <w:tab w:val="clear" w:pos="720"/>
          <w:tab w:val="left" w:pos="1712" w:leader="none"/>
        </w:tabs>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tab/>
      </w:r>
    </w:p>
    <w:p>
      <w:pPr>
        <w:pStyle w:val="Heading1"/>
        <w:spacing w:lineRule="auto" w:line="240" w:before="0" w:after="160"/>
        <w:jc w:val="both"/>
        <w:rPr>
          <w:rFonts w:ascii="Arial" w:hAnsi="Arial" w:cs="Arial"/>
          <w:b/>
          <w:b/>
          <w:color w:val="000000" w:themeColor="text1"/>
          <w:sz w:val="24"/>
          <w:szCs w:val="20"/>
        </w:rPr>
      </w:pPr>
      <w:r>
        <w:rPr>
          <w:rFonts w:cs="Arial" w:ascii="Arial" w:hAnsi="Arial"/>
          <w:b/>
          <w:color w:val="000000" w:themeColor="text1"/>
          <w:sz w:val="24"/>
          <w:szCs w:val="20"/>
        </w:rPr>
        <w:t>Guidance (click to expand):</w:t>
      </w:r>
    </w:p>
    <w:p>
      <w:pPr>
        <w:pStyle w:val="Normal"/>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t xml:space="preserve">This template is designed to serve as a documentation template for matters related to the following: </w:t>
      </w:r>
    </w:p>
    <w:p>
      <w:pPr>
        <w:pStyle w:val="ListParagraph"/>
        <w:numPr>
          <w:ilvl w:val="0"/>
          <w:numId w:val="12"/>
        </w:numPr>
        <w:spacing w:lineRule="auto" w:line="240"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Entity’s use of service organization; </w:t>
      </w:r>
    </w:p>
    <w:p>
      <w:pPr>
        <w:pStyle w:val="ListParagraph"/>
        <w:numPr>
          <w:ilvl w:val="0"/>
          <w:numId w:val="12"/>
        </w:numPr>
        <w:spacing w:lineRule="auto" w:line="240"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Entity’s use of management’s expert; </w:t>
      </w:r>
    </w:p>
    <w:p>
      <w:pPr>
        <w:pStyle w:val="ListParagraph"/>
        <w:numPr>
          <w:ilvl w:val="0"/>
          <w:numId w:val="12"/>
        </w:numPr>
        <w:spacing w:lineRule="auto" w:line="240"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Use of work of internal auditors; and/or </w:t>
      </w:r>
    </w:p>
    <w:p>
      <w:pPr>
        <w:pStyle w:val="ListParagraph"/>
        <w:numPr>
          <w:ilvl w:val="0"/>
          <w:numId w:val="12"/>
        </w:numPr>
        <w:spacing w:lineRule="auto" w:line="240"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Use of work of auditor’s expert or other specialist. </w:t>
      </w:r>
    </w:p>
    <w:p>
      <w:pPr>
        <w:pStyle w:val="Normal"/>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t>Refer to the following ISAs for detailed guidance:</w:t>
      </w:r>
    </w:p>
    <w:p>
      <w:pPr>
        <w:pStyle w:val="ListParagraph"/>
        <w:numPr>
          <w:ilvl w:val="0"/>
          <w:numId w:val="13"/>
        </w:numPr>
        <w:spacing w:lineRule="auto" w:line="240"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ISA 402 Audit Considerations Relating to an Entity Using a Service Organization</w:t>
      </w:r>
    </w:p>
    <w:p>
      <w:pPr>
        <w:pStyle w:val="ListParagraph"/>
        <w:numPr>
          <w:ilvl w:val="0"/>
          <w:numId w:val="13"/>
        </w:numPr>
        <w:spacing w:lineRule="auto" w:line="240"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ISA 500 Audit Evidence</w:t>
      </w:r>
    </w:p>
    <w:p>
      <w:pPr>
        <w:pStyle w:val="ListParagraph"/>
        <w:numPr>
          <w:ilvl w:val="0"/>
          <w:numId w:val="13"/>
        </w:numPr>
        <w:spacing w:lineRule="auto" w:line="240"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ISA 610 (Revised 2013) Using the Work of Internal Auditors</w:t>
      </w:r>
    </w:p>
    <w:p>
      <w:pPr>
        <w:pStyle w:val="ListParagraph"/>
        <w:numPr>
          <w:ilvl w:val="0"/>
          <w:numId w:val="13"/>
        </w:numPr>
        <w:spacing w:lineRule="auto" w:line="240" w:before="240" w:after="160"/>
        <w:contextualSpacing/>
        <w:jc w:val="both"/>
        <w:rPr>
          <w:rFonts w:ascii="Arial" w:hAnsi="Arial" w:cs="Arial"/>
          <w:color w:val="000000" w:themeColor="text1"/>
          <w:sz w:val="20"/>
          <w:szCs w:val="20"/>
        </w:rPr>
      </w:pPr>
      <w:r>
        <w:rPr>
          <w:rFonts w:cs="Arial" w:ascii="Arial" w:hAnsi="Arial"/>
          <w:color w:val="000000" w:themeColor="text1"/>
          <w:sz w:val="20"/>
          <w:szCs w:val="20"/>
        </w:rPr>
        <w:t>ISA 620 Using the Work of an Auditor’s Expert</w:t>
      </w:r>
    </w:p>
    <w:p>
      <w:pPr>
        <w:pStyle w:val="Normal"/>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r>
    </w:p>
    <w:p>
      <w:pPr>
        <w:pStyle w:val="Heading1"/>
        <w:spacing w:lineRule="auto" w:line="240" w:before="0" w:after="160"/>
        <w:jc w:val="both"/>
        <w:rPr>
          <w:rFonts w:ascii="Arial" w:hAnsi="Arial" w:cs="Arial"/>
          <w:b/>
          <w:b/>
          <w:color w:val="000000" w:themeColor="text1"/>
          <w:sz w:val="24"/>
          <w:szCs w:val="20"/>
        </w:rPr>
      </w:pPr>
      <w:r>
        <w:rPr>
          <w:rFonts w:cs="Arial" w:ascii="Arial" w:hAnsi="Arial"/>
          <w:b/>
          <w:color w:val="000000" w:themeColor="text1"/>
          <w:sz w:val="24"/>
          <w:szCs w:val="20"/>
        </w:rPr>
        <w:t>Entity’s Use of Service Organization</w:t>
      </w:r>
    </w:p>
    <w:tbl>
      <w:tblPr>
        <w:tblStyle w:val="TableGrid"/>
        <w:tblW w:w="5000" w:type="pct"/>
        <w:jc w:val="left"/>
        <w:tblInd w:w="0" w:type="dxa"/>
        <w:tblCellMar>
          <w:top w:w="0" w:type="dxa"/>
          <w:left w:w="108" w:type="dxa"/>
          <w:bottom w:w="0" w:type="dxa"/>
          <w:right w:w="108" w:type="dxa"/>
        </w:tblCellMar>
        <w:tblLook w:noVBand="0" w:val="01e0" w:noHBand="0" w:lastColumn="1" w:firstColumn="1" w:lastRow="1" w:firstRow="1"/>
      </w:tblPr>
      <w:tblGrid>
        <w:gridCol w:w="1088"/>
        <w:gridCol w:w="2065"/>
        <w:gridCol w:w="4095"/>
        <w:gridCol w:w="4095"/>
        <w:gridCol w:w="4100"/>
        <w:gridCol w:w="4100"/>
        <w:gridCol w:w="2056"/>
      </w:tblGrid>
      <w:tr>
        <w:trPr>
          <w:trHeight w:val="548" w:hRule="atLeast"/>
        </w:trPr>
        <w:tc>
          <w:tcPr>
            <w:tcW w:w="1088" w:type="dxa"/>
            <w:tcBorders/>
            <w:shd w:color="auto" w:fill="8EAADB" w:themeFill="accent5" w:themeFillTint="99" w:val="clear"/>
          </w:tcPr>
          <w:p>
            <w:pPr>
              <w:pStyle w:val="Normal"/>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t>S. no.</w:t>
            </w:r>
          </w:p>
        </w:tc>
        <w:tc>
          <w:tcPr>
            <w:tcW w:w="2065" w:type="dxa"/>
            <w:tcBorders/>
            <w:shd w:color="auto" w:fill="8EAADB" w:themeFill="accent5" w:themeFillTint="99" w:val="clear"/>
          </w:tcPr>
          <w:p>
            <w:pPr>
              <w:pStyle w:val="Normal"/>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t>Name</w:t>
            </w:r>
          </w:p>
        </w:tc>
        <w:tc>
          <w:tcPr>
            <w:tcW w:w="4095" w:type="dxa"/>
            <w:tcBorders/>
            <w:shd w:color="auto" w:fill="8EAADB" w:themeFill="accent5" w:themeFillTint="99" w:val="clear"/>
          </w:tcPr>
          <w:p>
            <w:pPr>
              <w:pStyle w:val="Normal"/>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t xml:space="preserve">Document understanding of how the entity uses the service organization, including: </w:t>
            </w:r>
          </w:p>
          <w:p>
            <w:pPr>
              <w:pStyle w:val="Normal"/>
              <w:numPr>
                <w:ilvl w:val="0"/>
                <w:numId w:val="8"/>
              </w:numPr>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t>The nature of the services provided by the service organization and the significance of those services to the entity, including the effect thereof on the entity’s internal control;</w:t>
            </w:r>
          </w:p>
          <w:p>
            <w:pPr>
              <w:pStyle w:val="Normal"/>
              <w:numPr>
                <w:ilvl w:val="0"/>
                <w:numId w:val="8"/>
              </w:numPr>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t xml:space="preserve">The nature and materiality of the transactions processed or accounts or financial reporting processes affected by the service organization; </w:t>
            </w:r>
          </w:p>
          <w:p>
            <w:pPr>
              <w:pStyle w:val="Normal"/>
              <w:numPr>
                <w:ilvl w:val="0"/>
                <w:numId w:val="8"/>
              </w:numPr>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t xml:space="preserve">The degree of interaction between the activities of the service organization and those of the entity; and </w:t>
            </w:r>
          </w:p>
          <w:p>
            <w:pPr>
              <w:pStyle w:val="Normal"/>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t>The nature of the relationship between the entity and the service organization, including the relevant contractual terms for the activities undertaken by the service organization.</w:t>
            </w:r>
          </w:p>
        </w:tc>
        <w:tc>
          <w:tcPr>
            <w:tcW w:w="4095" w:type="dxa"/>
            <w:tcBorders/>
            <w:shd w:color="auto" w:fill="8EAADB" w:themeFill="accent5" w:themeFillTint="99" w:val="clear"/>
          </w:tcPr>
          <w:p>
            <w:pPr>
              <w:pStyle w:val="Normal"/>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t>Document evaluation of the design and implementation of relevant controls at the entity that relate to the services provided by the service organization, including those that are applied to the transactions processed by the service organization.</w:t>
            </w:r>
          </w:p>
        </w:tc>
        <w:tc>
          <w:tcPr>
            <w:tcW w:w="4100" w:type="dxa"/>
            <w:tcBorders/>
            <w:shd w:color="auto" w:fill="8EAADB" w:themeFill="accent5" w:themeFillTint="99" w:val="clear"/>
          </w:tcPr>
          <w:p>
            <w:pPr>
              <w:pStyle w:val="Normal"/>
              <w:spacing w:lineRule="auto" w:line="240" w:before="0" w:after="0"/>
              <w:jc w:val="both"/>
              <w:rPr>
                <w:b/>
                <w:b/>
                <w:szCs w:val="20"/>
              </w:rPr>
            </w:pPr>
            <w:r>
              <w:rPr>
                <w:b/>
                <w:szCs w:val="20"/>
              </w:rPr>
              <w:t>If unable to obtain sufficient understanding from the entity, list the alternative procedures performed.</w:t>
            </w:r>
          </w:p>
          <w:p>
            <w:pPr>
              <w:pStyle w:val="Normal"/>
              <w:spacing w:lineRule="auto" w:line="240" w:before="0" w:after="0"/>
              <w:jc w:val="both"/>
              <w:rPr>
                <w:rFonts w:ascii="Arial" w:hAnsi="Arial" w:cs="Arial"/>
                <w:b/>
                <w:b/>
                <w:sz w:val="20"/>
                <w:szCs w:val="20"/>
              </w:rPr>
            </w:pPr>
            <w:r>
              <w:rPr>
                <w:rFonts w:cs="Arial" w:ascii="Arial" w:hAnsi="Arial"/>
                <w:b/>
                <w:sz w:val="20"/>
                <w:szCs w:val="20"/>
              </w:rPr>
            </w:r>
          </w:p>
        </w:tc>
        <w:tc>
          <w:tcPr>
            <w:tcW w:w="4100" w:type="dxa"/>
            <w:tcBorders/>
            <w:shd w:color="auto" w:fill="8EAADB" w:themeFill="accent5" w:themeFillTint="99" w:val="clear"/>
          </w:tcPr>
          <w:p>
            <w:pPr>
              <w:pStyle w:val="Normal"/>
              <w:spacing w:lineRule="auto" w:line="240" w:before="0" w:after="0"/>
              <w:jc w:val="both"/>
              <w:rPr>
                <w:rFonts w:ascii="Arial" w:hAnsi="Arial" w:cs="Arial"/>
                <w:b/>
                <w:b/>
                <w:sz w:val="20"/>
                <w:szCs w:val="20"/>
              </w:rPr>
            </w:pPr>
            <w:r>
              <w:rPr>
                <w:rFonts w:cs="Arial" w:ascii="Arial" w:hAnsi="Arial"/>
                <w:b/>
                <w:sz w:val="20"/>
                <w:szCs w:val="20"/>
              </w:rPr>
              <w:t>In case of use of type 1 or type 2 report, document the following:</w:t>
            </w:r>
          </w:p>
          <w:p>
            <w:pPr>
              <w:pStyle w:val="ListParagraph"/>
              <w:numPr>
                <w:ilvl w:val="0"/>
                <w:numId w:val="10"/>
              </w:numPr>
              <w:spacing w:lineRule="auto" w:line="240" w:before="0" w:after="0"/>
              <w:contextualSpacing/>
              <w:jc w:val="both"/>
              <w:rPr>
                <w:rFonts w:ascii="Arial" w:hAnsi="Arial" w:cs="Arial"/>
                <w:b/>
                <w:b/>
                <w:sz w:val="20"/>
                <w:szCs w:val="20"/>
              </w:rPr>
            </w:pPr>
            <w:r>
              <w:rPr>
                <w:rFonts w:cs="Arial" w:ascii="Arial" w:hAnsi="Arial"/>
                <w:b/>
                <w:sz w:val="20"/>
                <w:szCs w:val="20"/>
              </w:rPr>
              <w:t>Evaluation of whether the description and design of controls at the service organization is at a date or for a period that is appropriate for the engagement team’s purposes;</w:t>
            </w:r>
          </w:p>
          <w:p>
            <w:pPr>
              <w:pStyle w:val="ListParagraph"/>
              <w:numPr>
                <w:ilvl w:val="0"/>
                <w:numId w:val="9"/>
              </w:numPr>
              <w:spacing w:lineRule="auto" w:line="240" w:before="0" w:after="0"/>
              <w:contextualSpacing/>
              <w:jc w:val="both"/>
              <w:rPr>
                <w:rFonts w:ascii="Arial" w:hAnsi="Arial" w:cs="Arial"/>
                <w:b/>
                <w:b/>
                <w:sz w:val="20"/>
                <w:szCs w:val="20"/>
              </w:rPr>
            </w:pPr>
            <w:r>
              <w:rPr>
                <w:rFonts w:cs="Arial" w:ascii="Arial" w:hAnsi="Arial"/>
                <w:b/>
                <w:sz w:val="20"/>
                <w:szCs w:val="20"/>
              </w:rPr>
              <w:t>Evaluation of the sufficiency and appropriateness of the evidence provided by the report for the understanding of the entity’s internal control by considering the following:</w:t>
            </w:r>
          </w:p>
          <w:p>
            <w:pPr>
              <w:pStyle w:val="ListParagraph"/>
              <w:numPr>
                <w:ilvl w:val="0"/>
                <w:numId w:val="11"/>
              </w:numPr>
              <w:spacing w:lineRule="auto" w:line="240" w:before="0" w:after="0"/>
              <w:contextualSpacing/>
              <w:jc w:val="both"/>
              <w:rPr>
                <w:rFonts w:ascii="Arial" w:hAnsi="Arial" w:cs="Arial"/>
                <w:b/>
                <w:b/>
                <w:sz w:val="20"/>
                <w:szCs w:val="20"/>
              </w:rPr>
            </w:pPr>
            <w:r>
              <w:rPr>
                <w:rFonts w:cs="Arial" w:ascii="Arial" w:hAnsi="Arial"/>
                <w:b/>
                <w:sz w:val="20"/>
                <w:szCs w:val="20"/>
              </w:rPr>
              <w:t>The service auditor’s professional competence and independence from the service organization; and</w:t>
            </w:r>
          </w:p>
          <w:p>
            <w:pPr>
              <w:pStyle w:val="ListParagraph"/>
              <w:numPr>
                <w:ilvl w:val="0"/>
                <w:numId w:val="11"/>
              </w:numPr>
              <w:spacing w:lineRule="auto" w:line="240" w:before="0" w:after="0"/>
              <w:contextualSpacing/>
              <w:jc w:val="both"/>
              <w:rPr>
                <w:rFonts w:ascii="Arial" w:hAnsi="Arial" w:cs="Arial"/>
                <w:b/>
                <w:b/>
                <w:sz w:val="20"/>
                <w:szCs w:val="20"/>
              </w:rPr>
            </w:pPr>
            <w:r>
              <w:rPr>
                <w:rFonts w:cs="Arial" w:ascii="Arial" w:hAnsi="Arial"/>
                <w:b/>
                <w:sz w:val="20"/>
                <w:szCs w:val="20"/>
              </w:rPr>
              <w:t>The adequacy of the standards under which the type 1 or type 2 report was issued.</w:t>
            </w:r>
          </w:p>
          <w:p>
            <w:pPr>
              <w:pStyle w:val="ListParagraph"/>
              <w:numPr>
                <w:ilvl w:val="0"/>
                <w:numId w:val="9"/>
              </w:numPr>
              <w:spacing w:lineRule="auto" w:line="240" w:before="0" w:after="0"/>
              <w:contextualSpacing/>
              <w:jc w:val="both"/>
              <w:rPr>
                <w:rFonts w:ascii="Arial" w:hAnsi="Arial" w:cs="Arial"/>
                <w:sz w:val="20"/>
                <w:szCs w:val="20"/>
              </w:rPr>
            </w:pPr>
            <w:r>
              <w:rPr>
                <w:rFonts w:cs="Arial" w:ascii="Arial" w:hAnsi="Arial"/>
                <w:b/>
                <w:sz w:val="20"/>
                <w:szCs w:val="20"/>
              </w:rPr>
              <w:t>Determination of whether complementary entity controls identified by the service organization are relevant to the entity and, if so, whether the entity has designed and implemented such controls.</w:t>
            </w:r>
          </w:p>
        </w:tc>
        <w:tc>
          <w:tcPr>
            <w:tcW w:w="2056" w:type="dxa"/>
            <w:tcBorders/>
            <w:shd w:color="auto" w:fill="8EAADB" w:themeFill="accent5" w:themeFillTint="99" w:val="clear"/>
          </w:tcPr>
          <w:p>
            <w:pPr>
              <w:pStyle w:val="Normal"/>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t>Reference to audit program of relevant financial statement area.</w:t>
            </w:r>
          </w:p>
        </w:tc>
      </w:tr>
      <w:tr>
        <w:trPr/>
        <w:tc>
          <w:tcPr>
            <w:tcW w:w="1088"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1</w:t>
            </w:r>
          </w:p>
        </w:tc>
        <w:tc>
          <w:tcPr>
            <w:tcW w:w="2065"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4095"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409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0"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Checked those that apply:</w:t>
            </w:r>
          </w:p>
          <w:p>
            <w:pPr>
              <w:pStyle w:val="TableBulletArial"/>
              <w:tabs>
                <w:tab w:val="clear" w:pos="720"/>
                <w:tab w:val="left" w:pos="288" w:leader="none"/>
              </w:tabs>
              <w:spacing w:lineRule="auto" w:line="240" w:before="0" w:after="0"/>
              <w:ind w:left="288" w:hanging="288"/>
              <w:jc w:val="both"/>
              <w:rPr>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szCs w:val="20"/>
              </w:rPr>
              <w:t xml:space="preserve"> </w:t>
            </w:r>
            <w:r>
              <w:rPr>
                <w:rFonts w:eastAsia="MS Gothic"/>
                <w:szCs w:val="20"/>
              </w:rPr>
              <w:t>Obtained</w:t>
            </w:r>
            <w:r>
              <w:rPr>
                <w:szCs w:val="20"/>
              </w:rPr>
              <w:t xml:space="preserve"> a type  1 report.</w:t>
            </w:r>
          </w:p>
          <w:p>
            <w:pPr>
              <w:pStyle w:val="TableBulletArial"/>
              <w:tabs>
                <w:tab w:val="clear" w:pos="720"/>
                <w:tab w:val="left" w:pos="288" w:leader="none"/>
              </w:tabs>
              <w:spacing w:lineRule="auto" w:line="240" w:before="0" w:after="0"/>
              <w:ind w:left="288" w:hanging="288"/>
              <w:jc w:val="both"/>
              <w:rPr>
                <w:rFonts w:eastAsia="Calibri" w:eastAsiaTheme="minorHAnsi"/>
                <w:color w:val="auto"/>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szCs w:val="20"/>
              </w:rPr>
              <w:t xml:space="preserve"> </w:t>
            </w:r>
            <w:r>
              <w:rPr>
                <w:rFonts w:eastAsia="Calibri" w:eastAsiaTheme="minorHAnsi"/>
                <w:color w:val="auto"/>
                <w:szCs w:val="20"/>
              </w:rPr>
              <w:t xml:space="preserve">Obtained </w:t>
            </w:r>
            <w:r>
              <w:rPr>
                <w:szCs w:val="20"/>
              </w:rPr>
              <w:t xml:space="preserve"> a </w:t>
            </w:r>
            <w:r>
              <w:rPr>
                <w:rFonts w:eastAsia="Calibri" w:eastAsiaTheme="minorHAnsi"/>
                <w:color w:val="auto"/>
                <w:szCs w:val="20"/>
              </w:rPr>
              <w:t>t</w:t>
            </w:r>
            <w:r>
              <w:rPr>
                <w:szCs w:val="20"/>
              </w:rPr>
              <w:t>ype 2 report.</w:t>
            </w:r>
            <w:r>
              <w:rPr>
                <w:rFonts w:eastAsia="Calibri" w:eastAsiaTheme="minorHAnsi"/>
                <w:color w:val="auto"/>
                <w:szCs w:val="20"/>
              </w:rPr>
              <w:t xml:space="preserve"> </w:t>
            </w:r>
          </w:p>
          <w:p>
            <w:pPr>
              <w:pStyle w:val="TableBulletArial"/>
              <w:tabs>
                <w:tab w:val="clear" w:pos="720"/>
                <w:tab w:val="left" w:pos="288" w:leader="none"/>
              </w:tabs>
              <w:spacing w:lineRule="auto" w:line="240" w:before="0" w:after="0"/>
              <w:ind w:left="288" w:hanging="288"/>
              <w:jc w:val="both"/>
              <w:rPr>
                <w:rFonts w:eastAsia="Calibri" w:eastAsiaTheme="minorHAnsi"/>
                <w:color w:val="auto"/>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szCs w:val="20"/>
              </w:rPr>
              <w:t xml:space="preserve"> </w:t>
            </w:r>
            <w:r>
              <w:rPr>
                <w:szCs w:val="20"/>
              </w:rPr>
              <w:t xml:space="preserve"> </w:t>
            </w:r>
            <w:r>
              <w:rPr>
                <w:rFonts w:eastAsia="MS Gothic"/>
                <w:szCs w:val="20"/>
              </w:rPr>
              <w:t>Contacted the service  organization</w:t>
            </w:r>
            <w:r>
              <w:rPr>
                <w:rFonts w:eastAsia="Calibri" w:eastAsiaTheme="minorHAnsi"/>
                <w:color w:val="auto"/>
                <w:szCs w:val="20"/>
              </w:rPr>
              <w:t>, through the entity, to o</w:t>
            </w:r>
            <w:r>
              <w:rPr>
                <w:szCs w:val="20"/>
              </w:rPr>
              <w:t>btain specific information.</w:t>
            </w:r>
          </w:p>
          <w:p>
            <w:pPr>
              <w:pStyle w:val="TableBulletArial"/>
              <w:tabs>
                <w:tab w:val="clear" w:pos="720"/>
                <w:tab w:val="left" w:pos="288" w:leader="none"/>
              </w:tabs>
              <w:spacing w:lineRule="auto" w:line="240" w:before="0" w:after="0"/>
              <w:ind w:left="288" w:hanging="288"/>
              <w:jc w:val="both"/>
              <w:rPr>
                <w:rFonts w:eastAsia="Calibri" w:eastAsiaTheme="minorHAnsi"/>
                <w:color w:val="auto"/>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szCs w:val="20"/>
              </w:rPr>
              <w:t xml:space="preserve"> </w:t>
            </w:r>
            <w:r>
              <w:rPr>
                <w:rFonts w:eastAsia="Calibri" w:eastAsiaTheme="minorHAnsi"/>
                <w:color w:val="auto"/>
                <w:szCs w:val="20"/>
              </w:rPr>
              <w:t xml:space="preserve">Visited  the service </w:t>
            </w:r>
            <w:r>
              <w:rPr>
                <w:szCs w:val="20"/>
              </w:rPr>
              <w:t xml:space="preserve">organization and performing procedures. </w:t>
            </w:r>
          </w:p>
          <w:p>
            <w:pPr>
              <w:pStyle w:val="TableBulletArial"/>
              <w:tabs>
                <w:tab w:val="clear" w:pos="720"/>
                <w:tab w:val="left" w:pos="288" w:leader="none"/>
              </w:tabs>
              <w:spacing w:lineRule="auto" w:line="240" w:before="0" w:after="0"/>
              <w:ind w:left="288" w:hanging="288"/>
              <w:jc w:val="both"/>
              <w:rPr>
                <w:szCs w:val="20"/>
              </w:rPr>
            </w:pPr>
            <w:sdt>
              <w:sdtPr>
                <w14:checkbox>
                  <w14:checked w:val=""/>
                  <w14:checkedState w:val=""/>
                  <w14:uncheckedState w:val=""/>
                </w14:checkbox>
              </w:sdtPr>
              <w:sdtContent>
                <w:r>
                  <w:rPr>
                    <w:rFonts w:eastAsia="MS Gothic" w:cs="Segoe UI Symbol" w:ascii="Segoe UI Symbol" w:hAnsi="Segoe UI Symbol"/>
                    <w:szCs w:val="20"/>
                  </w:rPr>
                  <w:t>☐</w:t>
                </w:r>
              </w:sdtContent>
            </w:sdt>
            <w:r>
              <w:rPr>
                <w:szCs w:val="20"/>
              </w:rPr>
              <w:t xml:space="preserve"> </w:t>
            </w:r>
            <w:r>
              <w:rPr>
                <w:szCs w:val="20"/>
              </w:rPr>
              <w:t>Used another auditor to perform such procedures.</w:t>
            </w:r>
          </w:p>
        </w:tc>
        <w:tc>
          <w:tcPr>
            <w:tcW w:w="4100"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05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1088"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2</w:t>
            </w:r>
          </w:p>
        </w:tc>
        <w:tc>
          <w:tcPr>
            <w:tcW w:w="2065"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4095"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409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0"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0"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05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1088"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3</w:t>
            </w:r>
          </w:p>
        </w:tc>
        <w:tc>
          <w:tcPr>
            <w:tcW w:w="2065"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4095"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409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0"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0"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05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1088"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4</w:t>
            </w:r>
          </w:p>
        </w:tc>
        <w:tc>
          <w:tcPr>
            <w:tcW w:w="2065"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4095"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409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0"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0"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05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1088"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5</w:t>
            </w:r>
          </w:p>
        </w:tc>
        <w:tc>
          <w:tcPr>
            <w:tcW w:w="2065"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4095"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409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0"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0"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05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bl>
    <w:p>
      <w:pPr>
        <w:pStyle w:val="Normal"/>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r>
    </w:p>
    <w:p>
      <w:pPr>
        <w:pStyle w:val="Heading1"/>
        <w:spacing w:lineRule="auto" w:line="240" w:before="0" w:after="160"/>
        <w:jc w:val="both"/>
        <w:rPr>
          <w:rFonts w:ascii="Arial" w:hAnsi="Arial" w:cs="Arial"/>
          <w:b/>
          <w:b/>
          <w:color w:val="000000" w:themeColor="text1"/>
          <w:sz w:val="24"/>
          <w:szCs w:val="20"/>
        </w:rPr>
      </w:pPr>
      <w:r>
        <w:rPr>
          <w:rFonts w:cs="Arial" w:ascii="Arial" w:hAnsi="Arial"/>
          <w:b/>
          <w:color w:val="000000" w:themeColor="text1"/>
          <w:sz w:val="24"/>
          <w:szCs w:val="20"/>
        </w:rPr>
        <w:t>Entity’s Use of Management’s Expert</w:t>
      </w:r>
    </w:p>
    <w:tbl>
      <w:tblPr>
        <w:tblStyle w:val="TableGrid"/>
        <w:tblW w:w="5000" w:type="pct"/>
        <w:jc w:val="left"/>
        <w:tblInd w:w="0" w:type="dxa"/>
        <w:tblCellMar>
          <w:top w:w="0" w:type="dxa"/>
          <w:left w:w="108" w:type="dxa"/>
          <w:bottom w:w="0" w:type="dxa"/>
          <w:right w:w="108" w:type="dxa"/>
        </w:tblCellMar>
        <w:tblLook w:noVBand="0" w:val="01e0" w:noHBand="0" w:lastColumn="1" w:firstColumn="1" w:lastRow="1" w:firstRow="1"/>
      </w:tblPr>
      <w:tblGrid>
        <w:gridCol w:w="1092"/>
        <w:gridCol w:w="2076"/>
        <w:gridCol w:w="4091"/>
        <w:gridCol w:w="4095"/>
        <w:gridCol w:w="4094"/>
        <w:gridCol w:w="4095"/>
        <w:gridCol w:w="2056"/>
      </w:tblGrid>
      <w:tr>
        <w:trPr>
          <w:trHeight w:val="548" w:hRule="atLeast"/>
        </w:trPr>
        <w:tc>
          <w:tcPr>
            <w:tcW w:w="1092" w:type="dxa"/>
            <w:tcBorders/>
            <w:shd w:color="auto" w:fill="8EAADB" w:themeFill="accent5" w:themeFillTint="99" w:val="clear"/>
          </w:tcPr>
          <w:p>
            <w:pPr>
              <w:pStyle w:val="Normal"/>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t>S. no.</w:t>
            </w:r>
          </w:p>
        </w:tc>
        <w:tc>
          <w:tcPr>
            <w:tcW w:w="2076" w:type="dxa"/>
            <w:tcBorders/>
            <w:shd w:color="auto" w:fill="8EAADB" w:themeFill="accent5" w:themeFillTint="99" w:val="clear"/>
          </w:tcPr>
          <w:p>
            <w:pPr>
              <w:pStyle w:val="Normal"/>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t xml:space="preserve">Name </w:t>
            </w:r>
          </w:p>
        </w:tc>
        <w:tc>
          <w:tcPr>
            <w:tcW w:w="4091" w:type="dxa"/>
            <w:tcBorders/>
            <w:shd w:color="auto" w:fill="8EAADB" w:themeFill="accent5" w:themeFillTint="99" w:val="clear"/>
          </w:tcPr>
          <w:p>
            <w:pPr>
              <w:pStyle w:val="Normal"/>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t>Document evaluation of competence, capabilities and objectivity of the management’s expert.</w:t>
            </w:r>
          </w:p>
        </w:tc>
        <w:tc>
          <w:tcPr>
            <w:tcW w:w="4095" w:type="dxa"/>
            <w:tcBorders/>
            <w:shd w:color="auto" w:fill="8EAADB" w:themeFill="accent5" w:themeFillTint="99" w:val="clear"/>
          </w:tcPr>
          <w:p>
            <w:pPr>
              <w:pStyle w:val="Normal"/>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t>Is an auditor's internal expert or a specialist in accounting and auditing is required in order to assist with understanding the management's expert's field of expertise or with evaluating the appropriateness of the management's expert's work?</w:t>
            </w:r>
          </w:p>
          <w:p>
            <w:pPr>
              <w:pStyle w:val="Normal"/>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r>
          </w:p>
          <w:p>
            <w:pPr>
              <w:pStyle w:val="Normal"/>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t>Yes/No</w:t>
            </w:r>
          </w:p>
        </w:tc>
        <w:tc>
          <w:tcPr>
            <w:tcW w:w="4094" w:type="dxa"/>
            <w:tcBorders/>
            <w:shd w:color="auto" w:fill="8EAADB" w:themeFill="accent5" w:themeFillTint="99" w:val="clear"/>
          </w:tcPr>
          <w:p>
            <w:pPr>
              <w:pStyle w:val="Normal"/>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t xml:space="preserve">Document understanding of the field of expertise of the management’s expert, including the nature, scope and objectives of that expert’s work. </w:t>
            </w:r>
          </w:p>
        </w:tc>
        <w:tc>
          <w:tcPr>
            <w:tcW w:w="4095" w:type="dxa"/>
            <w:tcBorders/>
            <w:shd w:color="auto" w:fill="8EAADB" w:themeFill="accent5" w:themeFillTint="99" w:val="clear"/>
          </w:tcPr>
          <w:p>
            <w:pPr>
              <w:pStyle w:val="Normal"/>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t>Document evaluation of the adequacy of the auditor’s expert’s work including:</w:t>
            </w:r>
          </w:p>
          <w:p>
            <w:pPr>
              <w:pStyle w:val="ListParagraph"/>
              <w:numPr>
                <w:ilvl w:val="0"/>
                <w:numId w:val="7"/>
              </w:numPr>
              <w:spacing w:lineRule="auto" w:line="240" w:before="0" w:after="0"/>
              <w:contextualSpacing/>
              <w:jc w:val="both"/>
              <w:rPr>
                <w:rFonts w:ascii="Arial" w:hAnsi="Arial" w:cs="Arial"/>
                <w:b/>
                <w:b/>
                <w:color w:val="000000" w:themeColor="text1"/>
                <w:sz w:val="20"/>
                <w:szCs w:val="20"/>
              </w:rPr>
            </w:pPr>
            <w:r>
              <w:rPr>
                <w:rFonts w:cs="Arial" w:ascii="Arial" w:hAnsi="Arial"/>
                <w:b/>
                <w:color w:val="000000" w:themeColor="text1"/>
                <w:sz w:val="20"/>
                <w:szCs w:val="20"/>
              </w:rPr>
              <w:t xml:space="preserve">The relevance and reasonableness of the expert's findings or conclusions, their consistency with other audit evidence, and whether they have been appropriately reflected in the financial statements; </w:t>
            </w:r>
          </w:p>
          <w:p>
            <w:pPr>
              <w:pStyle w:val="ListParagraph"/>
              <w:numPr>
                <w:ilvl w:val="0"/>
                <w:numId w:val="7"/>
              </w:numPr>
              <w:spacing w:lineRule="auto" w:line="240" w:before="0" w:after="0"/>
              <w:contextualSpacing/>
              <w:jc w:val="both"/>
              <w:rPr>
                <w:rFonts w:ascii="Arial" w:hAnsi="Arial" w:cs="Arial"/>
                <w:b/>
                <w:b/>
                <w:color w:val="000000" w:themeColor="text1"/>
                <w:sz w:val="20"/>
                <w:szCs w:val="20"/>
              </w:rPr>
            </w:pPr>
            <w:r>
              <w:rPr>
                <w:rFonts w:cs="Arial" w:ascii="Arial" w:hAnsi="Arial"/>
                <w:b/>
                <w:color w:val="000000" w:themeColor="text1"/>
                <w:sz w:val="20"/>
                <w:szCs w:val="20"/>
              </w:rPr>
              <w:t xml:space="preserve">The relevance and reasonableness of any significant assumptions and methods used in the circumstances; and </w:t>
            </w:r>
          </w:p>
          <w:p>
            <w:pPr>
              <w:pStyle w:val="ListParagraph"/>
              <w:numPr>
                <w:ilvl w:val="0"/>
                <w:numId w:val="7"/>
              </w:numPr>
              <w:spacing w:lineRule="auto" w:line="240" w:before="0" w:after="0"/>
              <w:contextualSpacing/>
              <w:jc w:val="both"/>
              <w:rPr>
                <w:rFonts w:ascii="Arial" w:hAnsi="Arial" w:cs="Arial"/>
                <w:b/>
                <w:b/>
                <w:color w:val="000000" w:themeColor="text1"/>
                <w:sz w:val="20"/>
                <w:szCs w:val="20"/>
              </w:rPr>
            </w:pPr>
            <w:r>
              <w:rPr>
                <w:rFonts w:cs="Arial" w:ascii="Arial" w:hAnsi="Arial"/>
                <w:b/>
                <w:color w:val="000000" w:themeColor="text1"/>
                <w:sz w:val="20"/>
                <w:szCs w:val="20"/>
              </w:rPr>
              <w:t>The relevance, completeness, and accuracy of any significant source data used.</w:t>
            </w:r>
          </w:p>
        </w:tc>
        <w:tc>
          <w:tcPr>
            <w:tcW w:w="2056" w:type="dxa"/>
            <w:tcBorders/>
            <w:shd w:color="auto" w:fill="8EAADB" w:themeFill="accent5" w:themeFillTint="99" w:val="clear"/>
          </w:tcPr>
          <w:p>
            <w:pPr>
              <w:pStyle w:val="Normal"/>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t>Reference to audit program of relevant financial statement area.</w:t>
            </w:r>
          </w:p>
        </w:tc>
      </w:tr>
      <w:tr>
        <w:trPr/>
        <w:tc>
          <w:tcPr>
            <w:tcW w:w="109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1</w:t>
            </w:r>
          </w:p>
        </w:tc>
        <w:tc>
          <w:tcPr>
            <w:tcW w:w="2076"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4091"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409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09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09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05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109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2</w:t>
            </w:r>
          </w:p>
        </w:tc>
        <w:tc>
          <w:tcPr>
            <w:tcW w:w="2076"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4091"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409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09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09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05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109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3</w:t>
            </w:r>
          </w:p>
        </w:tc>
        <w:tc>
          <w:tcPr>
            <w:tcW w:w="2076"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4091"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409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09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09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05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109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4</w:t>
            </w:r>
          </w:p>
        </w:tc>
        <w:tc>
          <w:tcPr>
            <w:tcW w:w="2076"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4091"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409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09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09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05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109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5</w:t>
            </w:r>
          </w:p>
        </w:tc>
        <w:tc>
          <w:tcPr>
            <w:tcW w:w="2076"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4091"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409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09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09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05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bl>
    <w:p>
      <w:pPr>
        <w:pStyle w:val="Normal"/>
        <w:spacing w:lineRule="auto" w:line="240" w:before="240" w:after="160"/>
        <w:jc w:val="both"/>
        <w:rPr>
          <w:rFonts w:ascii="Arial" w:hAnsi="Arial" w:cs="Arial"/>
          <w:sz w:val="20"/>
          <w:szCs w:val="20"/>
        </w:rPr>
      </w:pPr>
      <w:r>
        <w:rPr>
          <w:rFonts w:cs="Arial" w:ascii="Arial" w:hAnsi="Arial"/>
          <w:sz w:val="20"/>
          <w:szCs w:val="20"/>
        </w:rPr>
      </w:r>
    </w:p>
    <w:p>
      <w:pPr>
        <w:pStyle w:val="Heading1"/>
        <w:spacing w:lineRule="auto" w:line="240" w:before="0" w:after="160"/>
        <w:jc w:val="both"/>
        <w:rPr>
          <w:rFonts w:ascii="Arial" w:hAnsi="Arial" w:cs="Arial"/>
          <w:b/>
          <w:b/>
          <w:color w:val="000000" w:themeColor="text1"/>
          <w:sz w:val="24"/>
          <w:szCs w:val="20"/>
        </w:rPr>
      </w:pPr>
      <w:r>
        <w:rPr>
          <w:rFonts w:cs="Arial" w:ascii="Arial" w:hAnsi="Arial"/>
          <w:b/>
          <w:color w:val="000000" w:themeColor="text1"/>
          <w:sz w:val="24"/>
          <w:szCs w:val="20"/>
        </w:rPr>
        <w:t>Use of Work of Internal Audit Function</w:t>
      </w:r>
    </w:p>
    <w:tbl>
      <w:tblPr>
        <w:tblStyle w:val="TableGrid"/>
        <w:tblW w:w="5000" w:type="pct"/>
        <w:jc w:val="left"/>
        <w:tblInd w:w="0" w:type="dxa"/>
        <w:tblCellMar>
          <w:top w:w="0" w:type="dxa"/>
          <w:left w:w="108" w:type="dxa"/>
          <w:bottom w:w="0" w:type="dxa"/>
          <w:right w:w="108" w:type="dxa"/>
        </w:tblCellMar>
        <w:tblLook w:noVBand="0" w:val="01e0" w:noHBand="0" w:lastColumn="1" w:firstColumn="1" w:lastRow="1" w:firstRow="1"/>
      </w:tblPr>
      <w:tblGrid>
        <w:gridCol w:w="10799"/>
        <w:gridCol w:w="10800"/>
      </w:tblGrid>
      <w:tr>
        <w:trPr>
          <w:trHeight w:val="197" w:hRule="atLeast"/>
        </w:trPr>
        <w:tc>
          <w:tcPr>
            <w:tcW w:w="21599" w:type="dxa"/>
            <w:gridSpan w:val="2"/>
            <w:tcBorders/>
            <w:shd w:color="auto" w:fill="8EAADB" w:themeFill="accent5" w:themeFillTint="99" w:val="clear"/>
          </w:tcPr>
          <w:p>
            <w:pPr>
              <w:pStyle w:val="Normal"/>
              <w:spacing w:lineRule="auto" w:line="240" w:before="240" w:after="0"/>
              <w:jc w:val="both"/>
              <w:rPr>
                <w:rFonts w:ascii="Arial" w:hAnsi="Arial" w:cs="Arial"/>
                <w:b/>
                <w:b/>
                <w:color w:val="000000" w:themeColor="text1"/>
                <w:sz w:val="20"/>
                <w:szCs w:val="20"/>
              </w:rPr>
            </w:pPr>
            <w:r>
              <w:rPr>
                <w:rFonts w:cs="Arial" w:ascii="Arial" w:hAnsi="Arial"/>
                <w:b/>
                <w:color w:val="000000" w:themeColor="text1"/>
                <w:sz w:val="20"/>
                <w:szCs w:val="20"/>
              </w:rPr>
              <w:t>Preliminary evaluations regarding whether the work of the internal audit function can be used.</w:t>
            </w:r>
          </w:p>
        </w:tc>
      </w:tr>
      <w:tr>
        <w:trPr>
          <w:trHeight w:val="1142" w:hRule="atLeast"/>
        </w:trPr>
        <w:tc>
          <w:tcPr>
            <w:tcW w:w="10799"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Determine whether the work of the internal audit function can be used by evaluating the following:</w:t>
            </w:r>
          </w:p>
          <w:p>
            <w:pPr>
              <w:pStyle w:val="ListParagraph"/>
              <w:numPr>
                <w:ilvl w:val="0"/>
                <w:numId w:val="1"/>
              </w:numPr>
              <w:spacing w:lineRule="auto" w:line="240" w:before="0" w:after="0"/>
              <w:contextualSpacing/>
              <w:jc w:val="both"/>
              <w:rPr>
                <w:rFonts w:ascii="Arial" w:hAnsi="Arial" w:cs="Arial"/>
                <w:color w:val="000000" w:themeColor="text1"/>
                <w:sz w:val="20"/>
                <w:szCs w:val="20"/>
              </w:rPr>
            </w:pPr>
            <w:r>
              <w:rPr>
                <w:rFonts w:cs="Arial" w:ascii="Arial" w:hAnsi="Arial"/>
                <w:color w:val="000000" w:themeColor="text1"/>
                <w:sz w:val="20"/>
                <w:szCs w:val="20"/>
              </w:rPr>
              <w:t>The extent to which the internal audit function’s organizational status and relevant policies and procedures support the objectivity of the internal auditors;</w:t>
            </w:r>
          </w:p>
          <w:p>
            <w:pPr>
              <w:pStyle w:val="ListParagraph"/>
              <w:numPr>
                <w:ilvl w:val="0"/>
                <w:numId w:val="1"/>
              </w:numPr>
              <w:spacing w:lineRule="auto" w:line="240" w:before="0" w:after="0"/>
              <w:contextualSpacing/>
              <w:jc w:val="both"/>
              <w:rPr>
                <w:rFonts w:ascii="Arial" w:hAnsi="Arial" w:cs="Arial"/>
                <w:color w:val="000000" w:themeColor="text1"/>
                <w:sz w:val="20"/>
                <w:szCs w:val="20"/>
              </w:rPr>
            </w:pPr>
            <w:r>
              <w:rPr>
                <w:rFonts w:cs="Arial" w:ascii="Arial" w:hAnsi="Arial"/>
                <w:color w:val="000000" w:themeColor="text1"/>
                <w:sz w:val="20"/>
                <w:szCs w:val="20"/>
              </w:rPr>
              <w:t>The level of competence of the internal audit function; and</w:t>
            </w:r>
          </w:p>
          <w:p>
            <w:pPr>
              <w:pStyle w:val="ListParagraph"/>
              <w:numPr>
                <w:ilvl w:val="0"/>
                <w:numId w:val="1"/>
              </w:numPr>
              <w:spacing w:lineRule="auto" w:line="240" w:before="0" w:after="0"/>
              <w:contextualSpacing/>
              <w:jc w:val="both"/>
              <w:rPr>
                <w:rFonts w:ascii="Arial" w:hAnsi="Arial" w:cs="Arial"/>
                <w:color w:val="000000" w:themeColor="text1"/>
                <w:sz w:val="20"/>
                <w:szCs w:val="20"/>
              </w:rPr>
            </w:pPr>
            <w:r>
              <w:rPr>
                <w:rFonts w:cs="Arial" w:ascii="Arial" w:hAnsi="Arial"/>
                <w:color w:val="000000" w:themeColor="text1"/>
                <w:sz w:val="20"/>
                <w:szCs w:val="20"/>
              </w:rPr>
              <w:t>Whether the internal audit function applies a systematic and disciplined approach, including quality control.</w:t>
            </w:r>
          </w:p>
        </w:tc>
        <w:tc>
          <w:tcPr>
            <w:tcW w:w="10800" w:type="dxa"/>
            <w:tcBorders/>
            <w:shd w:fill="auto" w:val="clear"/>
          </w:tcPr>
          <w:p>
            <w:pPr>
              <w:pStyle w:val="Normal"/>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r>
          </w:p>
        </w:tc>
      </w:tr>
      <w:tr>
        <w:trPr/>
        <w:tc>
          <w:tcPr>
            <w:tcW w:w="21599" w:type="dxa"/>
            <w:gridSpan w:val="2"/>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color w:val="000000" w:themeColor="text1"/>
                <w:sz w:val="20"/>
                <w:szCs w:val="20"/>
              </w:rPr>
              <w:t>The nature and extent of the work used and the basis for that decision.</w:t>
            </w:r>
          </w:p>
        </w:tc>
      </w:tr>
      <w:tr>
        <w:trPr/>
        <w:tc>
          <w:tcPr>
            <w:tcW w:w="10799"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 xml:space="preserve">Determine the areas and the extent to which the work of the internal audit function can be used by considering the following: </w:t>
            </w:r>
          </w:p>
          <w:p>
            <w:pPr>
              <w:pStyle w:val="ListParagraph"/>
              <w:numPr>
                <w:ilvl w:val="0"/>
                <w:numId w:val="15"/>
              </w:numPr>
              <w:spacing w:lineRule="auto" w:line="240" w:before="0" w:after="0"/>
              <w:contextualSpacing/>
              <w:jc w:val="both"/>
              <w:rPr>
                <w:rFonts w:ascii="Arial" w:hAnsi="Arial" w:cs="Arial"/>
                <w:color w:val="000000" w:themeColor="text1"/>
                <w:sz w:val="20"/>
                <w:szCs w:val="20"/>
              </w:rPr>
            </w:pPr>
            <w:r>
              <w:rPr>
                <w:rFonts w:cs="Arial" w:ascii="Arial" w:hAnsi="Arial"/>
                <w:color w:val="000000" w:themeColor="text1"/>
                <w:sz w:val="20"/>
                <w:szCs w:val="20"/>
              </w:rPr>
              <w:t>The nature and scope of the work that has been performed, or is planned to be performed, by the internal audit function and its relevance to the overall audit strategy and audit plan.</w:t>
            </w:r>
          </w:p>
          <w:p>
            <w:pPr>
              <w:pStyle w:val="ListParagraph"/>
              <w:numPr>
                <w:ilvl w:val="0"/>
                <w:numId w:val="2"/>
              </w:numPr>
              <w:spacing w:lineRule="auto" w:line="240" w:before="0" w:after="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The engagement team shall make all significant judgments and, to prevent undue use of the work of the internal audit function, plan to use less of the work of the function and planned to perform more of the work directly: </w:t>
            </w:r>
          </w:p>
          <w:p>
            <w:pPr>
              <w:pStyle w:val="ListParagraph"/>
              <w:numPr>
                <w:ilvl w:val="0"/>
                <w:numId w:val="3"/>
              </w:numPr>
              <w:spacing w:lineRule="auto" w:line="240" w:before="0" w:after="0"/>
              <w:contextualSpacing/>
              <w:jc w:val="both"/>
              <w:rPr>
                <w:rFonts w:ascii="Arial" w:hAnsi="Arial" w:cs="Arial"/>
                <w:color w:val="000000" w:themeColor="text1"/>
                <w:sz w:val="20"/>
                <w:szCs w:val="20"/>
              </w:rPr>
            </w:pPr>
            <w:r>
              <w:rPr>
                <w:rFonts w:cs="Arial" w:ascii="Arial" w:hAnsi="Arial"/>
                <w:color w:val="000000" w:themeColor="text1"/>
                <w:sz w:val="20"/>
                <w:szCs w:val="20"/>
              </w:rPr>
              <w:t>The more the judgment involved in planning and performing relevant audit procedures and evaluating the audit evidence gathered;</w:t>
            </w:r>
          </w:p>
          <w:p>
            <w:pPr>
              <w:pStyle w:val="ListParagraph"/>
              <w:numPr>
                <w:ilvl w:val="0"/>
                <w:numId w:val="3"/>
              </w:numPr>
              <w:spacing w:lineRule="auto" w:line="240" w:before="0" w:after="0"/>
              <w:contextualSpacing/>
              <w:jc w:val="both"/>
              <w:rPr>
                <w:rFonts w:ascii="Arial" w:hAnsi="Arial" w:cs="Arial"/>
                <w:color w:val="000000" w:themeColor="text1"/>
                <w:sz w:val="20"/>
                <w:szCs w:val="20"/>
              </w:rPr>
            </w:pPr>
            <w:r>
              <w:rPr>
                <w:rFonts w:cs="Arial" w:ascii="Arial" w:hAnsi="Arial"/>
                <w:color w:val="000000" w:themeColor="text1"/>
                <w:sz w:val="20"/>
                <w:szCs w:val="20"/>
              </w:rPr>
              <w:t>The higher the assessed risk of material misstatement at the assertion level, with special consideration given to significant risks;</w:t>
            </w:r>
          </w:p>
          <w:p>
            <w:pPr>
              <w:pStyle w:val="ListParagraph"/>
              <w:numPr>
                <w:ilvl w:val="0"/>
                <w:numId w:val="3"/>
              </w:numPr>
              <w:spacing w:lineRule="auto" w:line="240" w:before="0" w:after="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The less the internal audit function’s organizational status and relevant policies and procedures adequately support the objectivity of the internal auditors; and </w:t>
            </w:r>
          </w:p>
          <w:p>
            <w:pPr>
              <w:pStyle w:val="ListParagraph"/>
              <w:numPr>
                <w:ilvl w:val="0"/>
                <w:numId w:val="3"/>
              </w:numPr>
              <w:spacing w:lineRule="auto" w:line="240" w:before="0" w:after="0"/>
              <w:contextualSpacing/>
              <w:jc w:val="both"/>
              <w:rPr>
                <w:rFonts w:ascii="Arial" w:hAnsi="Arial" w:cs="Arial"/>
                <w:color w:val="000000" w:themeColor="text1"/>
                <w:sz w:val="20"/>
                <w:szCs w:val="20"/>
              </w:rPr>
            </w:pPr>
            <w:r>
              <w:rPr>
                <w:rFonts w:cs="Arial" w:ascii="Arial" w:hAnsi="Arial"/>
                <w:color w:val="000000" w:themeColor="text1"/>
                <w:sz w:val="20"/>
                <w:szCs w:val="20"/>
              </w:rPr>
              <w:t>The lower the level of competence of the internal audit function.</w:t>
            </w:r>
          </w:p>
          <w:p>
            <w:pPr>
              <w:pStyle w:val="ListParagraph"/>
              <w:numPr>
                <w:ilvl w:val="0"/>
                <w:numId w:val="2"/>
              </w:numPr>
              <w:spacing w:lineRule="auto" w:line="240" w:before="0" w:after="0"/>
              <w:contextualSpacing/>
              <w:jc w:val="both"/>
              <w:rPr>
                <w:rFonts w:ascii="Arial" w:hAnsi="Arial" w:cs="Arial"/>
                <w:color w:val="000000" w:themeColor="text1"/>
                <w:sz w:val="20"/>
                <w:szCs w:val="20"/>
              </w:rPr>
            </w:pPr>
            <w:r>
              <w:rPr>
                <w:rFonts w:cs="Arial" w:ascii="Arial" w:hAnsi="Arial"/>
                <w:color w:val="000000" w:themeColor="text1"/>
                <w:sz w:val="20"/>
                <w:szCs w:val="20"/>
              </w:rPr>
              <w:t>Whether, in aggregate, using the work of the internal audit function to the extent planned would still result in the engagement team being sufficiently involved in the audit.</w:t>
            </w:r>
          </w:p>
        </w:tc>
        <w:tc>
          <w:tcPr>
            <w:tcW w:w="10800"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21599" w:type="dxa"/>
            <w:gridSpan w:val="2"/>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color w:val="000000" w:themeColor="text1"/>
                <w:sz w:val="20"/>
                <w:szCs w:val="20"/>
              </w:rPr>
              <w:t>Audit procedures performed on the work used to determine its adequacy.</w:t>
            </w:r>
          </w:p>
        </w:tc>
      </w:tr>
      <w:tr>
        <w:trPr>
          <w:trHeight w:val="962" w:hRule="atLeast"/>
        </w:trPr>
        <w:tc>
          <w:tcPr>
            <w:tcW w:w="10799"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Determine adequacy of the work of internal audit function by evaluating the following:</w:t>
            </w:r>
          </w:p>
          <w:p>
            <w:pPr>
              <w:pStyle w:val="ListParagraph"/>
              <w:numPr>
                <w:ilvl w:val="0"/>
                <w:numId w:val="4"/>
              </w:numPr>
              <w:spacing w:lineRule="auto" w:line="240" w:before="0" w:after="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The work of the function had been properly planned, performed, supervised, reviewed and documented; </w:t>
            </w:r>
          </w:p>
          <w:p>
            <w:pPr>
              <w:pStyle w:val="ListParagraph"/>
              <w:numPr>
                <w:ilvl w:val="0"/>
                <w:numId w:val="4"/>
              </w:numPr>
              <w:spacing w:lineRule="auto" w:line="240" w:before="0" w:after="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Sufficient appropriate evidence had been obtained to enable the function to draw reasonable conclusions; and </w:t>
            </w:r>
          </w:p>
          <w:p>
            <w:pPr>
              <w:pStyle w:val="ListParagraph"/>
              <w:numPr>
                <w:ilvl w:val="0"/>
                <w:numId w:val="4"/>
              </w:numPr>
              <w:spacing w:lineRule="auto" w:line="240" w:before="0" w:after="0"/>
              <w:contextualSpacing/>
              <w:jc w:val="both"/>
              <w:rPr>
                <w:rFonts w:ascii="Arial" w:hAnsi="Arial" w:cs="Arial"/>
                <w:color w:val="000000" w:themeColor="text1"/>
                <w:sz w:val="20"/>
                <w:szCs w:val="20"/>
              </w:rPr>
            </w:pPr>
            <w:r>
              <w:rPr>
                <w:rFonts w:cs="Arial" w:ascii="Arial" w:hAnsi="Arial"/>
                <w:color w:val="000000" w:themeColor="text1"/>
                <w:sz w:val="20"/>
                <w:szCs w:val="20"/>
              </w:rPr>
              <w:t>Conclusions reached are appropriate in the circumstances and the reports prepared by the function are consistent with the results of the work performed.</w:t>
            </w:r>
          </w:p>
        </w:tc>
        <w:tc>
          <w:tcPr>
            <w:tcW w:w="10800" w:type="dxa"/>
            <w:tcBorders/>
            <w:shd w:fill="auto" w:val="clear"/>
          </w:tcPr>
          <w:p>
            <w:pPr>
              <w:pStyle w:val="Normal"/>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r>
          </w:p>
        </w:tc>
      </w:tr>
      <w:tr>
        <w:trPr>
          <w:trHeight w:val="260" w:hRule="atLeast"/>
        </w:trPr>
        <w:tc>
          <w:tcPr>
            <w:tcW w:w="10799"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Document audit procedures performed on the work, the nature, timing and extent of which will depend on the following:</w:t>
            </w:r>
          </w:p>
          <w:p>
            <w:pPr>
              <w:pStyle w:val="ListParagraph"/>
              <w:numPr>
                <w:ilvl w:val="0"/>
                <w:numId w:val="6"/>
              </w:numPr>
              <w:spacing w:lineRule="auto" w:line="240" w:before="0" w:after="0"/>
              <w:contextualSpacing/>
              <w:jc w:val="both"/>
              <w:rPr>
                <w:rFonts w:ascii="Arial" w:hAnsi="Arial" w:cs="Arial"/>
                <w:sz w:val="20"/>
                <w:szCs w:val="20"/>
              </w:rPr>
            </w:pPr>
            <w:r>
              <w:rPr>
                <w:rFonts w:cs="Arial" w:ascii="Arial" w:hAnsi="Arial"/>
                <w:sz w:val="20"/>
                <w:szCs w:val="20"/>
              </w:rPr>
              <w:t xml:space="preserve">The amount of judgment involved; </w:t>
            </w:r>
          </w:p>
          <w:p>
            <w:pPr>
              <w:pStyle w:val="ListParagraph"/>
              <w:numPr>
                <w:ilvl w:val="0"/>
                <w:numId w:val="6"/>
              </w:numPr>
              <w:spacing w:lineRule="auto" w:line="240" w:before="0" w:after="0"/>
              <w:contextualSpacing/>
              <w:jc w:val="both"/>
              <w:rPr>
                <w:rFonts w:ascii="Arial" w:hAnsi="Arial" w:cs="Arial"/>
                <w:sz w:val="20"/>
                <w:szCs w:val="20"/>
              </w:rPr>
            </w:pPr>
            <w:r>
              <w:rPr>
                <w:rFonts w:cs="Arial" w:ascii="Arial" w:hAnsi="Arial"/>
                <w:sz w:val="20"/>
                <w:szCs w:val="20"/>
              </w:rPr>
              <w:t xml:space="preserve">The assessed risk of material misstatement; </w:t>
            </w:r>
          </w:p>
          <w:p>
            <w:pPr>
              <w:pStyle w:val="ListParagraph"/>
              <w:numPr>
                <w:ilvl w:val="0"/>
                <w:numId w:val="6"/>
              </w:numPr>
              <w:spacing w:lineRule="auto" w:line="240" w:before="0" w:after="0"/>
              <w:contextualSpacing/>
              <w:jc w:val="both"/>
              <w:rPr>
                <w:rFonts w:ascii="Arial" w:hAnsi="Arial" w:cs="Arial"/>
                <w:sz w:val="20"/>
                <w:szCs w:val="20"/>
              </w:rPr>
            </w:pPr>
            <w:r>
              <w:rPr>
                <w:rFonts w:cs="Arial" w:ascii="Arial" w:hAnsi="Arial"/>
                <w:sz w:val="20"/>
                <w:szCs w:val="20"/>
              </w:rPr>
              <w:t xml:space="preserve">The extent to which the internal audit function’s organizational status and relevant policies and procedures support the objectivity of the internal auditors; and </w:t>
            </w:r>
          </w:p>
          <w:p>
            <w:pPr>
              <w:pStyle w:val="ListParagraph"/>
              <w:numPr>
                <w:ilvl w:val="0"/>
                <w:numId w:val="5"/>
              </w:numPr>
              <w:spacing w:lineRule="auto" w:line="240" w:before="0" w:after="0"/>
              <w:contextualSpacing/>
              <w:jc w:val="both"/>
              <w:rPr>
                <w:rFonts w:ascii="Arial" w:hAnsi="Arial" w:cs="Arial"/>
                <w:color w:val="000000" w:themeColor="text1"/>
                <w:sz w:val="20"/>
                <w:szCs w:val="20"/>
              </w:rPr>
            </w:pPr>
            <w:r>
              <w:rPr>
                <w:rFonts w:cs="Arial" w:ascii="Arial" w:hAnsi="Arial"/>
                <w:sz w:val="20"/>
                <w:szCs w:val="20"/>
              </w:rPr>
              <w:t>The level of competence of the function.</w:t>
            </w:r>
          </w:p>
        </w:tc>
        <w:tc>
          <w:tcPr>
            <w:tcW w:w="10800"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r>
      <w:tr>
        <w:trPr>
          <w:trHeight w:val="260" w:hRule="atLeast"/>
        </w:trPr>
        <w:tc>
          <w:tcPr>
            <w:tcW w:w="21599" w:type="dxa"/>
            <w:gridSpan w:val="2"/>
            <w:tcBorders/>
            <w:shd w:color="auto" w:fill="8EAADB" w:themeFill="accent5" w:themeFillTint="99" w:val="clear"/>
          </w:tcPr>
          <w:p>
            <w:pPr>
              <w:pStyle w:val="Normal"/>
              <w:spacing w:lineRule="auto" w:line="240" w:before="240" w:after="0"/>
              <w:jc w:val="both"/>
              <w:rPr>
                <w:rFonts w:ascii="Arial" w:hAnsi="Arial" w:cs="Arial"/>
                <w:b/>
                <w:b/>
                <w:color w:val="000000" w:themeColor="text1"/>
                <w:sz w:val="20"/>
                <w:szCs w:val="20"/>
              </w:rPr>
            </w:pPr>
            <w:r>
              <w:rPr>
                <w:rFonts w:cs="Arial" w:ascii="Arial" w:hAnsi="Arial"/>
                <w:b/>
                <w:color w:val="000000" w:themeColor="text1"/>
                <w:sz w:val="20"/>
                <w:szCs w:val="20"/>
              </w:rPr>
              <w:t>How the nature or timing, the extent of audit procedures to be performed will be altered.</w:t>
            </w:r>
          </w:p>
        </w:tc>
      </w:tr>
      <w:tr>
        <w:trPr>
          <w:trHeight w:val="287" w:hRule="atLeast"/>
        </w:trPr>
        <w:tc>
          <w:tcPr>
            <w:tcW w:w="21599" w:type="dxa"/>
            <w:gridSpan w:val="2"/>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Reference to audit program of relevant financial statement area.</w:t>
            </w:r>
          </w:p>
        </w:tc>
      </w:tr>
    </w:tbl>
    <w:p>
      <w:pPr>
        <w:pStyle w:val="Normal"/>
        <w:rPr>
          <w:rFonts w:ascii="Arial" w:hAnsi="Arial" w:cs="Arial"/>
          <w:sz w:val="20"/>
        </w:rPr>
      </w:pPr>
      <w:r>
        <w:rPr>
          <w:rFonts w:cs="Arial" w:ascii="Arial" w:hAnsi="Arial"/>
          <w:sz w:val="20"/>
        </w:rPr>
      </w:r>
    </w:p>
    <w:p>
      <w:pPr>
        <w:pStyle w:val="Heading1"/>
        <w:spacing w:lineRule="auto" w:line="240" w:before="0" w:after="160"/>
        <w:jc w:val="both"/>
        <w:rPr>
          <w:rFonts w:ascii="Arial" w:hAnsi="Arial" w:cs="Arial"/>
          <w:b/>
          <w:b/>
          <w:color w:val="000000" w:themeColor="text1"/>
          <w:sz w:val="24"/>
          <w:szCs w:val="20"/>
        </w:rPr>
      </w:pPr>
      <w:r>
        <w:rPr>
          <w:rFonts w:cs="Arial" w:ascii="Arial" w:hAnsi="Arial"/>
          <w:b/>
          <w:color w:val="000000" w:themeColor="text1"/>
          <w:sz w:val="24"/>
          <w:szCs w:val="20"/>
        </w:rPr>
        <w:t>Direct Assistance from Internal Audit Function</w:t>
      </w:r>
    </w:p>
    <w:tbl>
      <w:tblPr>
        <w:tblStyle w:val="TableGrid"/>
        <w:tblW w:w="5000" w:type="pct"/>
        <w:jc w:val="left"/>
        <w:tblInd w:w="0" w:type="dxa"/>
        <w:tblCellMar>
          <w:top w:w="0" w:type="dxa"/>
          <w:left w:w="108" w:type="dxa"/>
          <w:bottom w:w="0" w:type="dxa"/>
          <w:right w:w="108" w:type="dxa"/>
        </w:tblCellMar>
        <w:tblLook w:noVBand="0" w:val="01e0" w:noHBand="0" w:lastColumn="1" w:firstColumn="1" w:lastRow="1" w:firstRow="1"/>
      </w:tblPr>
      <w:tblGrid>
        <w:gridCol w:w="10799"/>
        <w:gridCol w:w="10800"/>
      </w:tblGrid>
      <w:tr>
        <w:trPr>
          <w:trHeight w:val="197" w:hRule="atLeast"/>
        </w:trPr>
        <w:tc>
          <w:tcPr>
            <w:tcW w:w="21599" w:type="dxa"/>
            <w:gridSpan w:val="2"/>
            <w:tcBorders/>
            <w:shd w:color="auto" w:fill="8EAADB" w:themeFill="accent5" w:themeFillTint="99" w:val="clear"/>
          </w:tcPr>
          <w:p>
            <w:pPr>
              <w:pStyle w:val="Normal"/>
              <w:spacing w:lineRule="auto" w:line="240" w:before="240" w:after="0"/>
              <w:jc w:val="both"/>
              <w:rPr>
                <w:rFonts w:ascii="Arial" w:hAnsi="Arial" w:cs="Arial"/>
                <w:b/>
                <w:b/>
                <w:color w:val="000000" w:themeColor="text1"/>
                <w:sz w:val="20"/>
                <w:szCs w:val="20"/>
              </w:rPr>
            </w:pPr>
            <w:r>
              <w:rPr>
                <w:rFonts w:cs="Arial" w:ascii="Arial" w:hAnsi="Arial"/>
                <w:b/>
                <w:color w:val="000000" w:themeColor="text1"/>
                <w:sz w:val="20"/>
                <w:szCs w:val="20"/>
              </w:rPr>
              <w:t>Preliminary evaluations regarding whether direct assistance from internal audit function can be used.</w:t>
            </w:r>
          </w:p>
        </w:tc>
      </w:tr>
      <w:tr>
        <w:trPr>
          <w:trHeight w:val="1115" w:hRule="atLeast"/>
        </w:trPr>
        <w:tc>
          <w:tcPr>
            <w:tcW w:w="10799" w:type="dxa"/>
            <w:tcBorders/>
            <w:shd w:fill="auto" w:val="clear"/>
          </w:tcPr>
          <w:p>
            <w:pPr>
              <w:pStyle w:val="Normal"/>
              <w:spacing w:lineRule="auto" w:line="259" w:before="0" w:after="0"/>
              <w:jc w:val="both"/>
              <w:rPr>
                <w:rFonts w:ascii="Arial" w:hAnsi="Arial" w:cs="Arial"/>
                <w:sz w:val="20"/>
                <w:szCs w:val="20"/>
              </w:rPr>
            </w:pPr>
            <w:r>
              <w:rPr>
                <w:rFonts w:cs="Arial" w:ascii="Arial" w:hAnsi="Arial"/>
                <w:sz w:val="20"/>
                <w:szCs w:val="20"/>
              </w:rPr>
              <w:t>Determine whether direct assistance from internal audit function can be used by evaluating the following:</w:t>
            </w:r>
          </w:p>
          <w:p>
            <w:pPr>
              <w:pStyle w:val="ListParagraph"/>
              <w:numPr>
                <w:ilvl w:val="0"/>
                <w:numId w:val="1"/>
              </w:numPr>
              <w:spacing w:lineRule="auto" w:line="240" w:before="0" w:after="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Whether there are any laws or regulations that prohibit obtaining direct assistance from internal auditors. </w:t>
            </w:r>
          </w:p>
          <w:p>
            <w:pPr>
              <w:pStyle w:val="ListParagraph"/>
              <w:numPr>
                <w:ilvl w:val="0"/>
                <w:numId w:val="1"/>
              </w:numPr>
              <w:spacing w:lineRule="auto" w:line="240" w:before="0" w:after="0"/>
              <w:contextualSpacing/>
              <w:jc w:val="both"/>
              <w:rPr>
                <w:rFonts w:ascii="Arial" w:hAnsi="Arial" w:cs="Arial"/>
                <w:color w:val="000000" w:themeColor="text1"/>
                <w:sz w:val="20"/>
                <w:szCs w:val="20"/>
              </w:rPr>
            </w:pPr>
            <w:r>
              <w:rPr>
                <w:rFonts w:cs="Arial" w:ascii="Arial" w:hAnsi="Arial"/>
                <w:color w:val="000000" w:themeColor="text1"/>
                <w:sz w:val="20"/>
                <w:szCs w:val="20"/>
              </w:rPr>
              <w:t>The existence and significance of threats to objectivity of the internal auditors providing such assistance through inquiry of the internal auditors regarding interests and relationships that may create a threat to their objectivity; and</w:t>
            </w:r>
          </w:p>
          <w:p>
            <w:pPr>
              <w:pStyle w:val="ListParagraph"/>
              <w:numPr>
                <w:ilvl w:val="0"/>
                <w:numId w:val="1"/>
              </w:numPr>
              <w:spacing w:lineRule="auto" w:line="240" w:before="0" w:after="0"/>
              <w:contextualSpacing/>
              <w:jc w:val="both"/>
              <w:rPr>
                <w:rFonts w:ascii="Arial" w:hAnsi="Arial" w:cs="Arial"/>
                <w:color w:val="000000" w:themeColor="text1"/>
                <w:sz w:val="20"/>
                <w:szCs w:val="20"/>
              </w:rPr>
            </w:pPr>
            <w:r>
              <w:rPr>
                <w:rFonts w:cs="Arial" w:ascii="Arial" w:hAnsi="Arial"/>
                <w:color w:val="000000" w:themeColor="text1"/>
                <w:sz w:val="20"/>
                <w:szCs w:val="20"/>
              </w:rPr>
              <w:t>The level of competence of the internal auditors providing such assistance.</w:t>
            </w:r>
          </w:p>
        </w:tc>
        <w:tc>
          <w:tcPr>
            <w:tcW w:w="10800" w:type="dxa"/>
            <w:tcBorders/>
            <w:shd w:fill="auto" w:val="clear"/>
          </w:tcPr>
          <w:p>
            <w:pPr>
              <w:pStyle w:val="Normal"/>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r>
          </w:p>
        </w:tc>
      </w:tr>
      <w:tr>
        <w:trPr/>
        <w:tc>
          <w:tcPr>
            <w:tcW w:w="21599" w:type="dxa"/>
            <w:gridSpan w:val="2"/>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color w:val="000000" w:themeColor="text1"/>
                <w:sz w:val="20"/>
                <w:szCs w:val="20"/>
              </w:rPr>
              <w:t>The nature and extent of the work performed by the internal auditors and the basis for that decision.</w:t>
            </w:r>
          </w:p>
        </w:tc>
      </w:tr>
      <w:tr>
        <w:trPr/>
        <w:tc>
          <w:tcPr>
            <w:tcW w:w="10799"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Document what direct assistance from the internal audit function can be used and to what extent by considering the following:</w:t>
            </w:r>
          </w:p>
          <w:p>
            <w:pPr>
              <w:pStyle w:val="ListParagraph"/>
              <w:numPr>
                <w:ilvl w:val="0"/>
                <w:numId w:val="2"/>
              </w:numPr>
              <w:spacing w:lineRule="auto" w:line="240" w:before="0" w:after="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The amount of judgment involved in planning and performing relevant audit procedures and evaluating the audit evidence gathered and not obtaining direct assistance where significant judgements are involved; </w:t>
            </w:r>
          </w:p>
          <w:p>
            <w:pPr>
              <w:pStyle w:val="ListParagraph"/>
              <w:numPr>
                <w:ilvl w:val="0"/>
                <w:numId w:val="2"/>
              </w:numPr>
              <w:spacing w:lineRule="auto" w:line="240" w:before="0" w:after="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The assessed risk of material misstatement and not obtaining direct assistance in areas related to higher assessed risks of material misstatement; </w:t>
            </w:r>
          </w:p>
          <w:p>
            <w:pPr>
              <w:pStyle w:val="ListParagraph"/>
              <w:numPr>
                <w:ilvl w:val="0"/>
                <w:numId w:val="2"/>
              </w:numPr>
              <w:spacing w:lineRule="auto" w:line="240" w:before="0" w:after="0"/>
              <w:contextualSpacing/>
              <w:jc w:val="both"/>
              <w:rPr>
                <w:rFonts w:ascii="Arial" w:hAnsi="Arial" w:cs="Arial"/>
                <w:color w:val="000000" w:themeColor="text1"/>
                <w:sz w:val="20"/>
                <w:szCs w:val="20"/>
              </w:rPr>
            </w:pPr>
            <w:r>
              <w:rPr>
                <w:rFonts w:cs="Arial" w:ascii="Arial" w:hAnsi="Arial"/>
                <w:color w:val="000000" w:themeColor="text1"/>
                <w:sz w:val="20"/>
                <w:szCs w:val="20"/>
              </w:rPr>
              <w:t>The engagement team’s evaluation of the existence and significance of threats to the objectivity and level of competence of the internal auditors providing such assistance.</w:t>
            </w:r>
          </w:p>
          <w:p>
            <w:pPr>
              <w:pStyle w:val="ListParagraph"/>
              <w:numPr>
                <w:ilvl w:val="0"/>
                <w:numId w:val="2"/>
              </w:numPr>
              <w:spacing w:lineRule="auto" w:line="240" w:before="0" w:after="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Not obtaining direct assistance when it relates to work with which the internal auditors have been involved and which has already been, or will be, reported to management or those charged with governance by the internal audit function; </w:t>
            </w:r>
          </w:p>
          <w:p>
            <w:pPr>
              <w:pStyle w:val="ListParagraph"/>
              <w:numPr>
                <w:ilvl w:val="0"/>
                <w:numId w:val="2"/>
              </w:numPr>
              <w:spacing w:lineRule="auto" w:line="240" w:before="0" w:after="0"/>
              <w:contextualSpacing/>
              <w:jc w:val="both"/>
              <w:rPr>
                <w:rFonts w:ascii="Arial" w:hAnsi="Arial" w:cs="Arial"/>
                <w:color w:val="000000" w:themeColor="text1"/>
                <w:sz w:val="20"/>
                <w:szCs w:val="20"/>
              </w:rPr>
            </w:pPr>
            <w:r>
              <w:rPr>
                <w:rFonts w:cs="Arial" w:ascii="Arial" w:hAnsi="Arial"/>
                <w:color w:val="000000" w:themeColor="text1"/>
                <w:sz w:val="20"/>
                <w:szCs w:val="20"/>
              </w:rPr>
              <w:t>Not obtaining direct assistance when it relates to decisions regarding the internal audit function and the use of its work or direct assistance; and</w:t>
            </w:r>
          </w:p>
          <w:p>
            <w:pPr>
              <w:pStyle w:val="ListParagraph"/>
              <w:numPr>
                <w:ilvl w:val="0"/>
                <w:numId w:val="2"/>
              </w:numPr>
              <w:spacing w:lineRule="auto" w:line="240" w:before="0" w:after="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Whether, in aggregate, obtaining direct assistance from the internal audit function to the extent planned would still result in the engagement team being sufficiently involved in the audit. </w:t>
            </w:r>
          </w:p>
        </w:tc>
        <w:tc>
          <w:tcPr>
            <w:tcW w:w="10800"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21599" w:type="dxa"/>
            <w:gridSpan w:val="2"/>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color w:val="000000" w:themeColor="text1"/>
                <w:sz w:val="20"/>
                <w:szCs w:val="20"/>
              </w:rPr>
              <w:t>Who reviewed the work performed and date and extent of that review.</w:t>
            </w:r>
          </w:p>
        </w:tc>
      </w:tr>
      <w:tr>
        <w:trPr>
          <w:trHeight w:val="720" w:hRule="atLeast"/>
        </w:trPr>
        <w:tc>
          <w:tcPr>
            <w:tcW w:w="21599" w:type="dxa"/>
            <w:gridSpan w:val="2"/>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Reviewer name and role:</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Date of review:</w:t>
            </w:r>
          </w:p>
          <w:p>
            <w:pPr>
              <w:pStyle w:val="Normal"/>
              <w:spacing w:lineRule="auto" w:line="240" w:before="0" w:after="0"/>
              <w:jc w:val="both"/>
              <w:rPr>
                <w:rFonts w:ascii="Arial" w:hAnsi="Arial" w:cs="Arial"/>
                <w:b/>
                <w:b/>
                <w:color w:val="000000" w:themeColor="text1"/>
                <w:sz w:val="20"/>
                <w:szCs w:val="20"/>
              </w:rPr>
            </w:pPr>
            <w:r>
              <w:rPr>
                <w:rFonts w:cs="Arial" w:ascii="Arial" w:hAnsi="Arial"/>
                <w:color w:val="000000" w:themeColor="text1"/>
                <w:sz w:val="20"/>
                <w:szCs w:val="20"/>
              </w:rPr>
              <w:t>Extent of review:</w:t>
            </w:r>
          </w:p>
        </w:tc>
      </w:tr>
      <w:tr>
        <w:trPr>
          <w:trHeight w:val="260" w:hRule="atLeast"/>
        </w:trPr>
        <w:tc>
          <w:tcPr>
            <w:tcW w:w="21599" w:type="dxa"/>
            <w:gridSpan w:val="2"/>
            <w:tcBorders/>
            <w:shd w:color="auto" w:fill="8EAADB" w:themeFill="accent5" w:themeFillTint="99" w:val="clear"/>
          </w:tcPr>
          <w:p>
            <w:pPr>
              <w:pStyle w:val="Normal"/>
              <w:spacing w:lineRule="auto" w:line="240" w:before="240" w:after="0"/>
              <w:jc w:val="both"/>
              <w:rPr>
                <w:rFonts w:ascii="Arial" w:hAnsi="Arial" w:cs="Arial"/>
                <w:b/>
                <w:b/>
                <w:color w:val="000000" w:themeColor="text1"/>
                <w:sz w:val="20"/>
                <w:szCs w:val="20"/>
              </w:rPr>
            </w:pPr>
            <w:r>
              <w:rPr>
                <w:rFonts w:cs="Arial" w:ascii="Arial" w:hAnsi="Arial"/>
                <w:b/>
                <w:color w:val="000000" w:themeColor="text1"/>
                <w:sz w:val="20"/>
                <w:szCs w:val="20"/>
              </w:rPr>
              <w:t>How the nature or timing, the extent of audit procedures to be performed will be altered.</w:t>
            </w:r>
          </w:p>
        </w:tc>
      </w:tr>
      <w:tr>
        <w:trPr>
          <w:trHeight w:val="260" w:hRule="atLeast"/>
        </w:trPr>
        <w:tc>
          <w:tcPr>
            <w:tcW w:w="21599" w:type="dxa"/>
            <w:gridSpan w:val="2"/>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Reference to audit program of relevant financial statement area.</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r>
    </w:tbl>
    <w:p>
      <w:pPr>
        <w:pStyle w:val="Normal"/>
        <w:spacing w:lineRule="auto" w:line="240"/>
        <w:jc w:val="both"/>
        <w:rPr>
          <w:rFonts w:ascii="Arial" w:hAnsi="Arial" w:cs="Arial"/>
          <w:sz w:val="20"/>
          <w:szCs w:val="20"/>
        </w:rPr>
      </w:pPr>
      <w:r>
        <w:rPr>
          <w:rFonts w:cs="Arial" w:ascii="Arial" w:hAnsi="Arial"/>
          <w:sz w:val="20"/>
          <w:szCs w:val="20"/>
        </w:rPr>
      </w:r>
    </w:p>
    <w:p>
      <w:pPr>
        <w:pStyle w:val="Heading1"/>
        <w:spacing w:lineRule="auto" w:line="240" w:before="0" w:after="160"/>
        <w:jc w:val="both"/>
        <w:rPr>
          <w:rFonts w:ascii="Arial" w:hAnsi="Arial" w:cs="Arial"/>
          <w:b/>
          <w:b/>
          <w:color w:val="000000" w:themeColor="text1"/>
          <w:sz w:val="24"/>
          <w:szCs w:val="20"/>
        </w:rPr>
      </w:pPr>
      <w:r>
        <w:rPr>
          <w:rFonts w:cs="Arial" w:ascii="Arial" w:hAnsi="Arial"/>
          <w:b/>
          <w:color w:val="000000" w:themeColor="text1"/>
          <w:sz w:val="24"/>
          <w:szCs w:val="20"/>
        </w:rPr>
        <w:t>Use of Work of Auditor’s Expert or Other Specialist</w:t>
        <w:tab/>
      </w:r>
    </w:p>
    <w:tbl>
      <w:tblPr>
        <w:tblStyle w:val="TableGrid"/>
        <w:tblW w:w="5000" w:type="pct"/>
        <w:jc w:val="left"/>
        <w:tblInd w:w="0" w:type="dxa"/>
        <w:tblCellMar>
          <w:top w:w="0" w:type="dxa"/>
          <w:left w:w="108" w:type="dxa"/>
          <w:bottom w:w="0" w:type="dxa"/>
          <w:right w:w="108" w:type="dxa"/>
        </w:tblCellMar>
        <w:tblLook w:noVBand="0" w:val="01e0" w:noHBand="0" w:lastColumn="1" w:firstColumn="1" w:lastRow="1" w:firstRow="1"/>
      </w:tblPr>
      <w:tblGrid>
        <w:gridCol w:w="1442"/>
        <w:gridCol w:w="2579"/>
        <w:gridCol w:w="2579"/>
        <w:gridCol w:w="4143"/>
        <w:gridCol w:w="4143"/>
        <w:gridCol w:w="4143"/>
        <w:gridCol w:w="2570"/>
      </w:tblGrid>
      <w:tr>
        <w:trPr>
          <w:trHeight w:val="548" w:hRule="atLeast"/>
        </w:trPr>
        <w:tc>
          <w:tcPr>
            <w:tcW w:w="1442" w:type="dxa"/>
            <w:tcBorders/>
            <w:shd w:color="auto" w:fill="8EAADB" w:themeFill="accent5" w:themeFillTint="99" w:val="clear"/>
          </w:tcPr>
          <w:p>
            <w:pPr>
              <w:pStyle w:val="Normal"/>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t>S. no.</w:t>
            </w:r>
          </w:p>
        </w:tc>
        <w:tc>
          <w:tcPr>
            <w:tcW w:w="2579" w:type="dxa"/>
            <w:tcBorders/>
            <w:shd w:color="auto" w:fill="8EAADB" w:themeFill="accent5" w:themeFillTint="99" w:val="clear"/>
          </w:tcPr>
          <w:p>
            <w:pPr>
              <w:pStyle w:val="Normal"/>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t xml:space="preserve">Name </w:t>
            </w:r>
          </w:p>
        </w:tc>
        <w:tc>
          <w:tcPr>
            <w:tcW w:w="2579" w:type="dxa"/>
            <w:tcBorders/>
            <w:shd w:color="auto" w:fill="8EAADB" w:themeFill="accent5" w:themeFillTint="99" w:val="clear"/>
          </w:tcPr>
          <w:p>
            <w:pPr>
              <w:pStyle w:val="Normal"/>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t>Type of expert i.e. internal or external?</w:t>
            </w:r>
          </w:p>
        </w:tc>
        <w:tc>
          <w:tcPr>
            <w:tcW w:w="4143" w:type="dxa"/>
            <w:tcBorders/>
            <w:shd w:color="auto" w:fill="8EAADB" w:themeFill="accent5" w:themeFillTint="99" w:val="clear"/>
          </w:tcPr>
          <w:p>
            <w:pPr>
              <w:pStyle w:val="Normal"/>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t>Document evaluation of competence, capabilities and objectivity of the auditor’s expert and:</w:t>
            </w:r>
          </w:p>
          <w:p>
            <w:pPr>
              <w:pStyle w:val="ListParagraph"/>
              <w:numPr>
                <w:ilvl w:val="0"/>
                <w:numId w:val="14"/>
              </w:numPr>
              <w:spacing w:lineRule="auto" w:line="240" w:before="0" w:after="0"/>
              <w:contextualSpacing/>
              <w:jc w:val="both"/>
              <w:rPr>
                <w:rFonts w:ascii="Arial" w:hAnsi="Arial" w:cs="Arial"/>
                <w:b/>
                <w:b/>
                <w:color w:val="000000" w:themeColor="text1"/>
                <w:sz w:val="20"/>
                <w:szCs w:val="20"/>
              </w:rPr>
            </w:pPr>
            <w:r>
              <w:rPr>
                <w:rFonts w:cs="Arial" w:ascii="Arial" w:hAnsi="Arial"/>
                <w:b/>
                <w:color w:val="000000" w:themeColor="text1"/>
                <w:sz w:val="20"/>
                <w:szCs w:val="20"/>
              </w:rPr>
              <w:t>In the case of an auditor’s internal expert, consider whether the member firm implements quality control policies and procedures in accordance, with ISQC 1, or other equivalent national requirements.</w:t>
            </w:r>
          </w:p>
          <w:p>
            <w:pPr>
              <w:pStyle w:val="ListParagraph"/>
              <w:numPr>
                <w:ilvl w:val="0"/>
                <w:numId w:val="14"/>
              </w:numPr>
              <w:spacing w:lineRule="auto" w:line="240" w:before="0" w:after="0"/>
              <w:contextualSpacing/>
              <w:jc w:val="both"/>
              <w:rPr>
                <w:rFonts w:ascii="Arial" w:hAnsi="Arial" w:cs="Arial"/>
                <w:b/>
                <w:b/>
                <w:color w:val="000000" w:themeColor="text1"/>
                <w:sz w:val="20"/>
                <w:szCs w:val="20"/>
              </w:rPr>
            </w:pPr>
            <w:r>
              <w:rPr>
                <w:rFonts w:cs="Arial" w:ascii="Arial" w:hAnsi="Arial"/>
                <w:b/>
                <w:color w:val="000000" w:themeColor="text1"/>
                <w:sz w:val="20"/>
                <w:szCs w:val="20"/>
              </w:rPr>
              <w:t>In the case of an auditor’s external expert, consider the evaluation of objectivity included inquiry regarding interests and relationships that may create a threat to that expert’s objectivity.</w:t>
            </w:r>
          </w:p>
        </w:tc>
        <w:tc>
          <w:tcPr>
            <w:tcW w:w="4143" w:type="dxa"/>
            <w:tcBorders/>
            <w:shd w:color="auto" w:fill="8EAADB" w:themeFill="accent5" w:themeFillTint="99" w:val="clear"/>
          </w:tcPr>
          <w:p>
            <w:pPr>
              <w:pStyle w:val="Normal"/>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t xml:space="preserve">Document understanding of the field of expertise of the auditor’s expert, including the nature, scope and objectives of that expert’s work. </w:t>
            </w:r>
          </w:p>
        </w:tc>
        <w:tc>
          <w:tcPr>
            <w:tcW w:w="4143" w:type="dxa"/>
            <w:tcBorders/>
            <w:shd w:color="auto" w:fill="8EAADB" w:themeFill="accent5" w:themeFillTint="99" w:val="clear"/>
          </w:tcPr>
          <w:p>
            <w:pPr>
              <w:pStyle w:val="Normal"/>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t>Document evaluation of the adequacy of the auditor’s expert’s work including:</w:t>
            </w:r>
          </w:p>
          <w:p>
            <w:pPr>
              <w:pStyle w:val="ListParagraph"/>
              <w:numPr>
                <w:ilvl w:val="0"/>
                <w:numId w:val="7"/>
              </w:numPr>
              <w:spacing w:lineRule="auto" w:line="240" w:before="0" w:after="0"/>
              <w:contextualSpacing/>
              <w:jc w:val="both"/>
              <w:rPr>
                <w:rFonts w:ascii="Arial" w:hAnsi="Arial" w:cs="Arial"/>
                <w:b/>
                <w:b/>
                <w:color w:val="000000" w:themeColor="text1"/>
                <w:sz w:val="20"/>
                <w:szCs w:val="20"/>
              </w:rPr>
            </w:pPr>
            <w:r>
              <w:rPr>
                <w:rFonts w:cs="Arial" w:ascii="Arial" w:hAnsi="Arial"/>
                <w:b/>
                <w:color w:val="000000" w:themeColor="text1"/>
                <w:sz w:val="20"/>
                <w:szCs w:val="20"/>
              </w:rPr>
              <w:t xml:space="preserve">The relevance and reasonableness of that expert’s findings or conclusions, and their consistency with other audit evidence; </w:t>
            </w:r>
          </w:p>
          <w:p>
            <w:pPr>
              <w:pStyle w:val="ListParagraph"/>
              <w:numPr>
                <w:ilvl w:val="0"/>
                <w:numId w:val="7"/>
              </w:numPr>
              <w:spacing w:lineRule="auto" w:line="240" w:before="0" w:after="0"/>
              <w:contextualSpacing/>
              <w:jc w:val="both"/>
              <w:rPr>
                <w:rFonts w:ascii="Arial" w:hAnsi="Arial" w:cs="Arial"/>
                <w:b/>
                <w:b/>
                <w:color w:val="000000" w:themeColor="text1"/>
                <w:sz w:val="20"/>
                <w:szCs w:val="20"/>
              </w:rPr>
            </w:pPr>
            <w:r>
              <w:rPr>
                <w:rFonts w:cs="Arial" w:ascii="Arial" w:hAnsi="Arial"/>
                <w:b/>
                <w:color w:val="000000" w:themeColor="text1"/>
                <w:sz w:val="20"/>
                <w:szCs w:val="20"/>
              </w:rPr>
              <w:t xml:space="preserve">The relevance and reasonableness of any significant assumptions and methods used in the circumstances; and </w:t>
            </w:r>
          </w:p>
          <w:p>
            <w:pPr>
              <w:pStyle w:val="ListParagraph"/>
              <w:numPr>
                <w:ilvl w:val="0"/>
                <w:numId w:val="7"/>
              </w:numPr>
              <w:spacing w:lineRule="auto" w:line="240" w:before="0" w:after="0"/>
              <w:contextualSpacing/>
              <w:jc w:val="both"/>
              <w:rPr>
                <w:rFonts w:ascii="Arial" w:hAnsi="Arial" w:cs="Arial"/>
                <w:b/>
                <w:b/>
                <w:color w:val="000000" w:themeColor="text1"/>
                <w:sz w:val="20"/>
                <w:szCs w:val="20"/>
              </w:rPr>
            </w:pPr>
            <w:r>
              <w:rPr>
                <w:rFonts w:cs="Arial" w:ascii="Arial" w:hAnsi="Arial"/>
                <w:b/>
                <w:color w:val="000000" w:themeColor="text1"/>
                <w:sz w:val="20"/>
                <w:szCs w:val="20"/>
              </w:rPr>
              <w:t>The relevance, completeness, and accuracy of any significant source data used.</w:t>
            </w:r>
          </w:p>
        </w:tc>
        <w:tc>
          <w:tcPr>
            <w:tcW w:w="2570" w:type="dxa"/>
            <w:tcBorders/>
            <w:shd w:color="auto" w:fill="8EAADB" w:themeFill="accent5" w:themeFillTint="99" w:val="clear"/>
          </w:tcPr>
          <w:p>
            <w:pPr>
              <w:pStyle w:val="Normal"/>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t xml:space="preserve">Reference to audit program of relevant financial </w:t>
            </w:r>
            <w:r>
              <w:rPr>
                <w:rFonts w:cs="Arial" w:ascii="Arial" w:hAnsi="Arial"/>
                <w:sz w:val="20"/>
                <w:szCs w:val="20"/>
              </w:rPr>
              <w:t>statement</w:t>
            </w:r>
            <w:r>
              <w:rPr>
                <w:rFonts w:cs="Arial" w:ascii="Arial" w:hAnsi="Arial"/>
                <w:b/>
                <w:color w:val="000000" w:themeColor="text1"/>
                <w:sz w:val="20"/>
                <w:szCs w:val="20"/>
              </w:rPr>
              <w:t xml:space="preserve"> area.</w:t>
            </w:r>
          </w:p>
        </w:tc>
      </w:tr>
      <w:tr>
        <w:trPr/>
        <w:tc>
          <w:tcPr>
            <w:tcW w:w="144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1</w:t>
            </w:r>
          </w:p>
        </w:tc>
        <w:tc>
          <w:tcPr>
            <w:tcW w:w="2579"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2579"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4143"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414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4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570"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144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2</w:t>
            </w:r>
          </w:p>
        </w:tc>
        <w:tc>
          <w:tcPr>
            <w:tcW w:w="2579"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2579"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4143"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414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4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570"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144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3</w:t>
            </w:r>
          </w:p>
        </w:tc>
        <w:tc>
          <w:tcPr>
            <w:tcW w:w="2579"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2579"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4143"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414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4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570"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144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4</w:t>
            </w:r>
          </w:p>
        </w:tc>
        <w:tc>
          <w:tcPr>
            <w:tcW w:w="2579"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2579"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4143"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414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4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570"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144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5</w:t>
            </w:r>
          </w:p>
        </w:tc>
        <w:tc>
          <w:tcPr>
            <w:tcW w:w="2579"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2579"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4143"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414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4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570"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bl>
    <w:p>
      <w:pPr>
        <w:pStyle w:val="Normal"/>
        <w:spacing w:lineRule="auto" w:line="240" w:before="0" w:after="160"/>
        <w:jc w:val="both"/>
        <w:rPr/>
      </w:pPr>
      <w:r>
        <w:rPr/>
      </w:r>
    </w:p>
    <w:sectPr>
      <w:headerReference w:type="default" r:id="rId2"/>
      <w:footerReference w:type="default" r:id="rId3"/>
      <w:type w:val="nextPage"/>
      <w:pgSz w:orient="landscape" w:w="2448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Liberation Sans">
    <w:altName w:val="Arial"/>
    <w:charset w:val="01"/>
    <w:family w:val="roman"/>
    <w:pitch w:val="variable"/>
  </w:font>
  <w:font w:name="Segoe UI Symbol">
    <w:charset w:val="01"/>
    <w:family w:val="roman"/>
    <w:pitch w:val="variable"/>
  </w:font>
  <w:font w:name="Times New Roman">
    <w:charset w:val="01"/>
    <w:family w:val="auto"/>
    <w:pitch w:val="default"/>
  </w:font>
  <w:font w:name="Symbol">
    <w:charset w:val="02"/>
    <w:family w:val="auto"/>
    <w:pitch w:val="default"/>
  </w:font>
  <w:font w:name="Courier New">
    <w:charset w:val="01"/>
    <w:family w:val="auto"/>
    <w:pitch w:val="fixed"/>
  </w:font>
  <w:font w:name="Wingdings">
    <w:charset w:val="02"/>
    <w:family w:val="auto"/>
    <w:pitch w:val="default"/>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07471012"/>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4</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5" wp14:anchorId="1699B376">
              <wp:simplePos x="0" y="0"/>
              <wp:positionH relativeFrom="margin">
                <wp:align>right</wp:align>
              </wp:positionH>
              <wp:positionV relativeFrom="paragraph">
                <wp:posOffset>-349250</wp:posOffset>
              </wp:positionV>
              <wp:extent cx="13717270" cy="706120"/>
              <wp:effectExtent l="0" t="0" r="0" b="0"/>
              <wp:wrapNone/>
              <wp:docPr id="1" name="Group 5"/>
              <a:graphic xmlns:a="http://schemas.openxmlformats.org/drawingml/2006/main">
                <a:graphicData uri="http://schemas.microsoft.com/office/word/2010/wordprocessingGroup">
                  <wpg:wgp>
                    <wpg:cNvGrpSpPr/>
                    <wpg:grpSpPr>
                      <a:xfrm>
                        <a:off x="0" y="0"/>
                        <a:ext cx="13716720" cy="705600"/>
                      </a:xfrm>
                    </wpg:grpSpPr>
                    <wps:wsp>
                      <wps:cNvSpPr/>
                      <wps:spPr>
                        <a:xfrm>
                          <a:off x="0" y="0"/>
                          <a:ext cx="7920360" cy="70560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heme="minorHAnsi" w:cstheme="minorBidi" w:eastAsiaTheme="minorHAnsi" w:hAnsiTheme="minorHAnsi" w:ascii="Times New Roman" w:hAnsi="Times New Roman"/>
                                <w:color w:val="000000"/>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heme="minorHAnsi" w:cstheme="minorBidi" w:eastAsiaTheme="minorHAnsi" w:hAnsiTheme="minorHAnsi" w:ascii="Times New Roman" w:hAnsi="Times New Roman"/>
                                <w:color w:val="000000"/>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wps:txbx>
                      <wps:bodyPr lIns="90000" rIns="90000" tIns="45000" bIns="45000" anchor="ctr">
                        <a:noAutofit/>
                      </wps:bodyPr>
                    </wps:wsp>
                    <pic:pic xmlns:pic="http://schemas.openxmlformats.org/drawingml/2006/picture">
                      <pic:nvPicPr>
                        <pic:cNvPr id="0" name="Picture 3" descr=""/>
                        <pic:cNvPicPr/>
                      </pic:nvPicPr>
                      <pic:blipFill>
                        <a:blip r:embed="rId1"/>
                        <a:srcRect l="5759" t="28463" r="5649" b="28450"/>
                        <a:stretch/>
                      </pic:blipFill>
                      <pic:spPr>
                        <a:xfrm>
                          <a:off x="12163320" y="71280"/>
                          <a:ext cx="1553040" cy="519480"/>
                        </a:xfrm>
                        <a:prstGeom prst="rect">
                          <a:avLst/>
                        </a:prstGeom>
                        <a:ln>
                          <a:noFill/>
                        </a:ln>
                      </pic:spPr>
                    </pic:pic>
                  </wpg:wgp>
                </a:graphicData>
              </a:graphic>
            </wp:anchor>
          </w:drawing>
        </mc:Choice>
        <mc:Fallback>
          <w:pict>
            <v:group id="shape_0" alt="Group 5" style="position:absolute;margin-left:-9.1pt;margin-top:-27.5pt;width:1080.05pt;height:55.55pt" coordorigin="-182,-550" coordsize="21601,1111">
              <v:rect id="shape_0" fillcolor="white" stroked="f" style="position:absolute;left:-182;top:-550;width:12472;height:1110;mso-position-horizontal:right;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heme="minorHAnsi" w:cstheme="minorBidi" w:eastAsiaTheme="minorHAnsi" w:hAnsiTheme="minorHAnsi" w:ascii="Times New Roman" w:hAnsi="Times New Roman"/>
                          <w:color w:val="000000"/>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heme="minorHAnsi" w:cstheme="minorBidi" w:eastAsiaTheme="minorHAnsi" w:hAnsiTheme="minorHAnsi" w:ascii="Times New Roman" w:hAnsi="Times New Roman"/>
                          <w:color w:val="000000"/>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v:textbox>
                <w10:wrap type="square"/>
                <v:fill o:detectmouseclick="t" type="solid" color2="black"/>
                <v:stroke color="#3465a4" weight="9360"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18973;top:-438;width:2445;height:817;mso-position-horizontal:right;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sz w:val="20"/>
        <w:rFonts w:cs="Wingdings"/>
      </w:rPr>
    </w:lvl>
    <w:lvl w:ilvl="1">
      <w:start w:val="1"/>
      <w:numFmt w:val="bullet"/>
      <w:lvlText w:val=""/>
      <w:lvlJc w:val="left"/>
      <w:pPr>
        <w:ind w:left="1440" w:hanging="360"/>
      </w:pPr>
      <w:rPr>
        <w:rFonts w:ascii="Wingdings" w:hAnsi="Wingdings" w:cs="Wingdings" w:hint="default"/>
        <w:rFonts w:cs="Wingdings"/>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5">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6">
    <w:lvl w:ilvl="0">
      <w:start w:val="1"/>
      <w:numFmt w:val="bullet"/>
      <w:lvlText w:val=""/>
      <w:lvlJc w:val="left"/>
      <w:pPr>
        <w:ind w:left="360" w:hanging="360"/>
      </w:pPr>
      <w:rPr>
        <w:rFonts w:ascii="Symbol" w:hAnsi="Symbol" w:cs="Symbol" w:hint="default"/>
        <w:sz w:val="20"/>
        <w:rFonts w:cs="Symbol"/>
      </w:rPr>
    </w:lvl>
    <w:lvl w:ilvl="1">
      <w:start w:val="1"/>
      <w:numFmt w:val="bullet"/>
      <w:lvlText w:val=""/>
      <w:lvlJc w:val="left"/>
      <w:pPr>
        <w:ind w:left="1080" w:hanging="360"/>
      </w:pPr>
      <w:rPr>
        <w:rFonts w:ascii="Symbol" w:hAnsi="Symbol" w:cs="Symbol" w:hint="default"/>
        <w:rFonts w:cs="Symbol"/>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7">
    <w:lvl w:ilvl="0">
      <w:start w:val="1"/>
      <w:numFmt w:val="bullet"/>
      <w:lvlText w:val=""/>
      <w:lvlJc w:val="left"/>
      <w:pPr>
        <w:ind w:left="360" w:hanging="360"/>
      </w:pPr>
      <w:rPr>
        <w:rFonts w:ascii="Symbol" w:hAnsi="Symbol" w:cs="Symbol" w:hint="default"/>
        <w:sz w:val="20"/>
        <w:b/>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8">
    <w:lvl w:ilvl="0">
      <w:start w:val="1"/>
      <w:numFmt w:val="bullet"/>
      <w:lvlText w:val=""/>
      <w:lvlJc w:val="left"/>
      <w:pPr>
        <w:ind w:left="360" w:hanging="360"/>
      </w:pPr>
      <w:rPr>
        <w:rFonts w:ascii="Symbol" w:hAnsi="Symbol" w:cs="Symbol" w:hint="default"/>
        <w:sz w:val="20"/>
        <w:b/>
        <w:rFonts w:cs="Symbol"/>
      </w:rPr>
    </w:lvl>
    <w:lvl w:ilvl="1">
      <w:start w:val="1"/>
      <w:numFmt w:val="bullet"/>
      <w:lvlText w:val=""/>
      <w:lvlJc w:val="left"/>
      <w:pPr>
        <w:ind w:left="1080" w:hanging="360"/>
      </w:pPr>
      <w:rPr>
        <w:rFonts w:ascii="Wingdings" w:hAnsi="Wingdings" w:cs="Wingdings" w:hint="default"/>
        <w:rFonts w:cs="Wingdings"/>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9">
    <w:lvl w:ilvl="0">
      <w:start w:val="1"/>
      <w:numFmt w:val="bullet"/>
      <w:lvlText w:val=""/>
      <w:lvlJc w:val="left"/>
      <w:pPr>
        <w:ind w:left="360" w:hanging="360"/>
      </w:pPr>
      <w:rPr>
        <w:rFonts w:ascii="Symbol" w:hAnsi="Symbol" w:cs="Symbol" w:hint="default"/>
        <w:sz w:val="20"/>
        <w:b/>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0">
    <w:lvl w:ilvl="0">
      <w:start w:val="1"/>
      <w:numFmt w:val="bullet"/>
      <w:lvlText w:val=""/>
      <w:lvlJc w:val="left"/>
      <w:pPr>
        <w:ind w:left="360" w:hanging="360"/>
      </w:pPr>
      <w:rPr>
        <w:rFonts w:ascii="Symbol" w:hAnsi="Symbol" w:cs="Symbol" w:hint="default"/>
        <w:sz w:val="20"/>
        <w:b/>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Wingdings" w:hAnsi="Wingdings" w:cs="Wingdings" w:hint="default"/>
        <w:sz w:val="20"/>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360" w:hanging="360"/>
      </w:pPr>
      <w:rPr>
        <w:rFonts w:ascii="Symbol" w:hAnsi="Symbol" w:cs="Symbol" w:hint="default"/>
        <w:sz w:val="20"/>
        <w:rFonts w:cs="Symbol"/>
      </w:rPr>
    </w:lvl>
    <w:lvl w:ilvl="1">
      <w:start w:val="3"/>
      <w:numFmt w:val="bullet"/>
      <w:lvlText w:val="•"/>
      <w:lvlJc w:val="left"/>
      <w:pPr>
        <w:ind w:left="720" w:hanging="0"/>
      </w:pPr>
      <w:rPr>
        <w:rFonts w:ascii="Arial" w:hAnsi="Arial" w:cs="Arial" w:hint="default"/>
        <w:rFonts w:cs="Arial"/>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3">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4">
    <w:lvl w:ilvl="0">
      <w:start w:val="1"/>
      <w:numFmt w:val="bullet"/>
      <w:lvlText w:val=""/>
      <w:lvlJc w:val="left"/>
      <w:pPr>
        <w:ind w:left="360" w:hanging="360"/>
      </w:pPr>
      <w:rPr>
        <w:rFonts w:ascii="Symbol" w:hAnsi="Symbol" w:cs="Symbol" w:hint="default"/>
        <w:sz w:val="20"/>
        <w:b/>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5">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13d1f"/>
    <w:pPr>
      <w:widowControl/>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11336d"/>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1336d"/>
    <w:rPr>
      <w:rFonts w:ascii="Calibri Light" w:hAnsi="Calibri Light" w:eastAsia="" w:cs="" w:asciiTheme="majorHAnsi" w:cstheme="majorBidi" w:eastAsiaTheme="majorEastAsia" w:hAnsiTheme="majorHAnsi"/>
      <w:color w:val="2E74B5" w:themeColor="accent1" w:themeShade="bf"/>
      <w:sz w:val="32"/>
      <w:szCs w:val="32"/>
    </w:rPr>
  </w:style>
  <w:style w:type="character" w:styleId="HeaderChar" w:customStyle="1">
    <w:name w:val="Header Char"/>
    <w:basedOn w:val="DefaultParagraphFont"/>
    <w:link w:val="Header"/>
    <w:uiPriority w:val="99"/>
    <w:qFormat/>
    <w:rsid w:val="00bd47c4"/>
    <w:rPr/>
  </w:style>
  <w:style w:type="character" w:styleId="FooterChar" w:customStyle="1">
    <w:name w:val="Footer Char"/>
    <w:basedOn w:val="DefaultParagraphFont"/>
    <w:link w:val="Footer"/>
    <w:uiPriority w:val="99"/>
    <w:qFormat/>
    <w:rsid w:val="00bd47c4"/>
    <w:rPr/>
  </w:style>
  <w:style w:type="character" w:styleId="ListLabel1">
    <w:name w:val="ListLabel 1"/>
    <w:qFormat/>
    <w:rPr>
      <w:color w:val="000000"/>
      <w:sz w:val="18"/>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olor w:val="auto"/>
    </w:rPr>
  </w:style>
  <w:style w:type="character" w:styleId="ListLabel29">
    <w:name w:val="ListLabel 29"/>
    <w:qFormat/>
    <w:rPr>
      <w:rFonts w:cs="Times New Roman"/>
      <w:color w:val="auto"/>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color w:val="000000"/>
      <w:sz w:val="18"/>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color w:val="000000"/>
      <w:sz w:val="18"/>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eastAsia="Times New Roman" w:cs="Arial"/>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eastAsia="" w:cs="Verdana"/>
      <w:sz w:val="16"/>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Courier New"/>
    </w:rPr>
  </w:style>
  <w:style w:type="character" w:styleId="ListLabel129">
    <w:name w:val="ListLabel 129"/>
    <w:qFormat/>
    <w:rPr>
      <w:rFonts w:cs="Courier New"/>
    </w:rPr>
  </w:style>
  <w:style w:type="character" w:styleId="ListLabel130">
    <w:name w:val="ListLabel 130"/>
    <w:qFormat/>
    <w:rPr>
      <w:rFonts w:cs="Courier New"/>
    </w:rPr>
  </w:style>
  <w:style w:type="character" w:styleId="ListLabel131">
    <w:name w:val="ListLabel 131"/>
    <w:qFormat/>
    <w:rPr>
      <w:rFonts w:cs="Courier New"/>
    </w:rPr>
  </w:style>
  <w:style w:type="character" w:styleId="ListLabel132">
    <w:name w:val="ListLabel 132"/>
    <w:qFormat/>
    <w:rPr>
      <w:rFonts w:cs="Courier New"/>
    </w:rPr>
  </w:style>
  <w:style w:type="character" w:styleId="ListLabel133">
    <w:name w:val="ListLabel 133"/>
    <w:qFormat/>
    <w:rPr>
      <w:rFonts w:cs="Courier New"/>
    </w:rPr>
  </w:style>
  <w:style w:type="character" w:styleId="ListLabel134">
    <w:name w:val="ListLabel 134"/>
    <w:qFormat/>
    <w:rPr>
      <w:rFonts w:cs="Courier New"/>
    </w:rPr>
  </w:style>
  <w:style w:type="character" w:styleId="ListLabel135">
    <w:name w:val="ListLabel 135"/>
    <w:qFormat/>
    <w:rPr>
      <w:rFonts w:cs="Courier New"/>
    </w:rPr>
  </w:style>
  <w:style w:type="character" w:styleId="ListLabel136">
    <w:name w:val="ListLabel 136"/>
    <w:qFormat/>
    <w:rPr>
      <w:rFonts w:cs="Courier New"/>
    </w:rPr>
  </w:style>
  <w:style w:type="character" w:styleId="ListLabel137">
    <w:name w:val="ListLabel 137"/>
    <w:qFormat/>
    <w:rPr>
      <w:rFonts w:cs="Courier New"/>
    </w:rPr>
  </w:style>
  <w:style w:type="character" w:styleId="ListLabel138">
    <w:name w:val="ListLabel 138"/>
    <w:qFormat/>
    <w:rPr>
      <w:rFonts w:cs="Courier New"/>
    </w:rPr>
  </w:style>
  <w:style w:type="character" w:styleId="ListLabel139">
    <w:name w:val="ListLabel 139"/>
    <w:qFormat/>
    <w:rPr>
      <w:rFonts w:cs="Courier New"/>
    </w:rPr>
  </w:style>
  <w:style w:type="character" w:styleId="ListLabel140">
    <w:name w:val="ListLabel 140"/>
    <w:qFormat/>
    <w:rPr>
      <w:rFonts w:cs="Courier New"/>
    </w:rPr>
  </w:style>
  <w:style w:type="character" w:styleId="ListLabel141">
    <w:name w:val="ListLabel 141"/>
    <w:qFormat/>
    <w:rPr>
      <w:rFonts w:eastAsia="Calibri" w:cs="Arial"/>
    </w:rPr>
  </w:style>
  <w:style w:type="character" w:styleId="ListLabel142">
    <w:name w:val="ListLabel 142"/>
    <w:qFormat/>
    <w:rPr>
      <w:rFonts w:cs="Courier New"/>
    </w:rPr>
  </w:style>
  <w:style w:type="character" w:styleId="ListLabel143">
    <w:name w:val="ListLabel 143"/>
    <w:qFormat/>
    <w:rPr>
      <w:rFonts w:cs="Courier New"/>
    </w:rPr>
  </w:style>
  <w:style w:type="character" w:styleId="ListLabel144">
    <w:name w:val="ListLabel 144"/>
    <w:qFormat/>
    <w:rPr>
      <w:rFonts w:cs="Courier New"/>
    </w:rPr>
  </w:style>
  <w:style w:type="character" w:styleId="ListLabel145">
    <w:name w:val="ListLabel 145"/>
    <w:qFormat/>
    <w:rPr>
      <w:rFonts w:cs="Courier New"/>
    </w:rPr>
  </w:style>
  <w:style w:type="character" w:styleId="ListLabel146">
    <w:name w:val="ListLabel 146"/>
    <w:qFormat/>
    <w:rPr>
      <w:rFonts w:cs="Courier New"/>
    </w:rPr>
  </w:style>
  <w:style w:type="character" w:styleId="ListLabel147">
    <w:name w:val="ListLabel 147"/>
    <w:qFormat/>
    <w:rPr>
      <w:rFonts w:cs="Courier New"/>
    </w:rPr>
  </w:style>
  <w:style w:type="character" w:styleId="ListLabel148">
    <w:name w:val="ListLabel 148"/>
    <w:qFormat/>
    <w:rPr>
      <w:rFonts w:cs="Courier New"/>
    </w:rPr>
  </w:style>
  <w:style w:type="character" w:styleId="ListLabel149">
    <w:name w:val="ListLabel 149"/>
    <w:qFormat/>
    <w:rPr>
      <w:rFonts w:cs="Courier New"/>
    </w:rPr>
  </w:style>
  <w:style w:type="character" w:styleId="ListLabel150">
    <w:name w:val="ListLabel 150"/>
    <w:qFormat/>
    <w:rPr>
      <w:rFonts w:cs="Courier New"/>
    </w:rPr>
  </w:style>
  <w:style w:type="character" w:styleId="ListLabel151">
    <w:name w:val="ListLabel 151"/>
    <w:qFormat/>
    <w:rPr>
      <w:rFonts w:cs="Courier New"/>
    </w:rPr>
  </w:style>
  <w:style w:type="character" w:styleId="ListLabel152">
    <w:name w:val="ListLabel 152"/>
    <w:qFormat/>
    <w:rPr>
      <w:rFonts w:cs="Courier New"/>
    </w:rPr>
  </w:style>
  <w:style w:type="character" w:styleId="ListLabel153">
    <w:name w:val="ListLabel 153"/>
    <w:qFormat/>
    <w:rPr>
      <w:rFonts w:eastAsia="" w:cs="Verdana"/>
      <w:sz w:val="16"/>
    </w:rPr>
  </w:style>
  <w:style w:type="character" w:styleId="ListLabel154">
    <w:name w:val="ListLabel 154"/>
    <w:qFormat/>
    <w:rPr>
      <w:rFonts w:eastAsia="" w:cs="Verdana"/>
      <w:sz w:val="16"/>
    </w:rPr>
  </w:style>
  <w:style w:type="character" w:styleId="ListLabel155">
    <w:name w:val="ListLabel 155"/>
    <w:qFormat/>
    <w:rPr>
      <w:rFonts w:cs="Courier New"/>
    </w:rPr>
  </w:style>
  <w:style w:type="character" w:styleId="ListLabel156">
    <w:name w:val="ListLabel 156"/>
    <w:qFormat/>
    <w:rPr>
      <w:rFonts w:cs="Courier New"/>
    </w:rPr>
  </w:style>
  <w:style w:type="character" w:styleId="ListLabel157">
    <w:name w:val="ListLabel 157"/>
    <w:qFormat/>
    <w:rPr>
      <w:rFonts w:ascii="Arial" w:hAnsi="Arial" w:cs="Symbol"/>
      <w:sz w:val="20"/>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ascii="Arial" w:hAnsi="Arial" w:cs="Symbol"/>
      <w:sz w:val="20"/>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ascii="Arial" w:hAnsi="Arial" w:cs="Wingdings"/>
      <w:sz w:val="20"/>
    </w:rPr>
  </w:style>
  <w:style w:type="character" w:styleId="ListLabel176">
    <w:name w:val="ListLabel 176"/>
    <w:qFormat/>
    <w:rPr>
      <w:rFonts w:cs="Wingdings"/>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ascii="Arial" w:hAnsi="Arial" w:cs="Symbol"/>
      <w:sz w:val="20"/>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ascii="Arial" w:hAnsi="Arial" w:cs="Symbol"/>
      <w:sz w:val="20"/>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ascii="Arial" w:hAnsi="Arial" w:cs="Symbol"/>
      <w:sz w:val="20"/>
    </w:rPr>
  </w:style>
  <w:style w:type="character" w:styleId="ListLabel203">
    <w:name w:val="ListLabel 203"/>
    <w:qFormat/>
    <w:rPr>
      <w:rFonts w:cs="Symbol"/>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ascii="Arial" w:hAnsi="Arial" w:cs="Symbol"/>
      <w:b/>
      <w:sz w:val="20"/>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ascii="Arial" w:hAnsi="Arial" w:cs="Symbol"/>
      <w:b/>
      <w:sz w:val="20"/>
    </w:rPr>
  </w:style>
  <w:style w:type="character" w:styleId="ListLabel221">
    <w:name w:val="ListLabel 221"/>
    <w:qFormat/>
    <w:rPr>
      <w:rFonts w:cs="Wingdings"/>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ascii="Arial" w:hAnsi="Arial" w:cs="Symbol"/>
      <w:b/>
      <w:sz w:val="20"/>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ascii="Arial" w:hAnsi="Arial" w:cs="Symbol"/>
      <w:b/>
      <w:sz w:val="20"/>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ascii="Arial" w:hAnsi="Arial" w:cs="Wingdings"/>
      <w:b/>
      <w:sz w:val="20"/>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ascii="Arial" w:hAnsi="Arial" w:cs="Symbol"/>
      <w:sz w:val="20"/>
    </w:rPr>
  </w:style>
  <w:style w:type="character" w:styleId="ListLabel257">
    <w:name w:val="ListLabel 257"/>
    <w:qFormat/>
    <w:rPr>
      <w:rFonts w:cs="Arial"/>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ascii="Arial" w:hAnsi="Arial" w:cs="Symbol"/>
      <w:sz w:val="20"/>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ascii="Arial" w:hAnsi="Arial" w:cs="Symbol"/>
      <w:b/>
      <w:sz w:val="20"/>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ascii="Arial" w:hAnsi="Arial" w:cs="Symbol"/>
      <w:sz w:val="20"/>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Bullet" w:customStyle="1">
    <w:name w:val="Table Bullet"/>
    <w:basedOn w:val="Normal"/>
    <w:qFormat/>
    <w:rsid w:val="00f13d1f"/>
    <w:pPr>
      <w:spacing w:lineRule="atLeast" w:line="260" w:before="120" w:after="120"/>
    </w:pPr>
    <w:rPr>
      <w:rFonts w:ascii="Arial" w:hAnsi="Arial" w:eastAsia="Times New Roman" w:cs="Arial Unicode MS"/>
      <w:sz w:val="24"/>
      <w:szCs w:val="24"/>
      <w:lang w:bidi="th-TH"/>
    </w:rPr>
  </w:style>
  <w:style w:type="paragraph" w:styleId="ListParagraph">
    <w:name w:val="List Paragraph"/>
    <w:basedOn w:val="Normal"/>
    <w:uiPriority w:val="34"/>
    <w:qFormat/>
    <w:rsid w:val="00f13d1f"/>
    <w:pPr>
      <w:spacing w:before="0" w:after="160"/>
      <w:ind w:left="720" w:hanging="0"/>
      <w:contextualSpacing/>
    </w:pPr>
    <w:rPr/>
  </w:style>
  <w:style w:type="paragraph" w:styleId="TableBulletArial" w:customStyle="1">
    <w:name w:val="Table Bullet_Arial"/>
    <w:basedOn w:val="Normal"/>
    <w:uiPriority w:val="99"/>
    <w:qFormat/>
    <w:rsid w:val="00b43520"/>
    <w:pPr>
      <w:spacing w:lineRule="auto" w:line="240" w:before="60" w:after="60"/>
    </w:pPr>
    <w:rPr>
      <w:rFonts w:ascii="Arial" w:hAnsi="Arial" w:eastAsia="Times New Roman" w:cs="Arial"/>
      <w:color w:val="000000" w:themeColor="text1"/>
      <w:sz w:val="20"/>
      <w:szCs w:val="21"/>
    </w:rPr>
  </w:style>
  <w:style w:type="paragraph" w:styleId="Header">
    <w:name w:val="Header"/>
    <w:basedOn w:val="Normal"/>
    <w:link w:val="HeaderChar"/>
    <w:uiPriority w:val="99"/>
    <w:unhideWhenUsed/>
    <w:rsid w:val="00bd47c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d47c4"/>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13d1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Application>LibreOffice/6.1.5.2$Linux_X86_64 LibreOffice_project/10$Build-2</Application>
  <Pages>4</Pages>
  <Words>1630</Words>
  <Characters>8897</Characters>
  <CharactersWithSpaces>10379</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2022-07-25T15:03:00Z</dcterms:created>
  <dc:creator>Maham Moin</dc:creator>
  <dc:description/>
  <dc:language>en-US</dc:language>
  <cp:lastModifiedBy/>
  <dcterms:modified xsi:type="dcterms:W3CDTF">2022-09-21T15:43:38Z</dcterms:modified>
  <cp:revision>96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