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t>*Professional Ethics and Independence</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0"/>
        <w:gridCol w:w="1713"/>
        <w:gridCol w:w="1887"/>
      </w:tblGrid>
      <w:tr>
        <w:trPr/>
        <w:tc>
          <w:tcPr>
            <w:tcW w:w="576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1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87"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0" w:type="dxa"/>
            <w:tcBorders/>
            <w:shd w:fill="auto" w:val="clear"/>
          </w:tcPr>
          <w:p>
            <w:pPr>
              <w:pStyle w:val="Default"/>
              <w:numPr>
                <w:ilvl w:val="0"/>
                <w:numId w:val="1"/>
              </w:numPr>
              <w:spacing w:lineRule="auto" w:line="240" w:before="0" w:after="0"/>
              <w:jc w:val="both"/>
              <w:rPr>
                <w:sz w:val="20"/>
                <w:szCs w:val="20"/>
              </w:rPr>
            </w:pPr>
            <w:r>
              <w:rPr>
                <w:sz w:val="20"/>
                <w:szCs w:val="20"/>
              </w:rPr>
              <w:t xml:space="preserve">The engagement team remained alert throughout the audit for evidence of non-compliance with ethical requirements, including independence as set out in IESBA Code of Ethics and other relevant national code of ethics and laws and regulations. </w:t>
            </w:r>
          </w:p>
        </w:tc>
        <w:tc>
          <w:tcPr>
            <w:tcW w:w="1713" w:type="dxa"/>
            <w:tcBorders/>
            <w:shd w:fill="auto" w:val="clear"/>
          </w:tcPr>
          <w:p>
            <w:pPr>
              <w:pStyle w:val="Default"/>
              <w:spacing w:lineRule="auto" w:line="240" w:before="0" w:after="0"/>
              <w:rPr/>
            </w:pPr>
            <w:hyperlink r:id="rId2">
              <w:r>
                <w:rPr>
                  <w:rStyle w:val="InternetLink"/>
                  <w:b/>
                  <w:sz w:val="20"/>
                  <w:szCs w:val="20"/>
                </w:rPr>
                <w:t>Threats to Independence.docx</w:t>
              </w:r>
            </w:hyperlink>
          </w:p>
          <w:p>
            <w:pPr>
              <w:pStyle w:val="Default"/>
              <w:spacing w:lineRule="auto" w:line="240" w:before="0" w:after="0"/>
              <w:rPr>
                <w:rStyle w:val="InternetLink"/>
              </w:rPr>
            </w:pPr>
            <w:r>
              <w:rPr/>
            </w:r>
          </w:p>
          <w:p>
            <w:pPr>
              <w:pStyle w:val="Default"/>
              <w:spacing w:lineRule="auto" w:line="240" w:before="0" w:after="0"/>
              <w:rPr/>
            </w:pPr>
            <w:hyperlink r:id="rId3">
              <w:r>
                <w:rPr>
                  <w:rStyle w:val="InternetLink"/>
                  <w:b/>
                  <w:sz w:val="20"/>
                  <w:szCs w:val="20"/>
                </w:rPr>
                <w:t>Register of Non-Audit Services.docx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c>
          <w:tcPr>
            <w:tcW w:w="5760" w:type="dxa"/>
            <w:tcBorders/>
            <w:shd w:fill="auto" w:val="clear"/>
          </w:tcPr>
          <w:p>
            <w:pPr>
              <w:pStyle w:val="Default"/>
              <w:numPr>
                <w:ilvl w:val="0"/>
                <w:numId w:val="1"/>
              </w:numPr>
              <w:spacing w:lineRule="auto" w:line="240" w:before="0" w:after="0"/>
              <w:jc w:val="both"/>
              <w:rPr>
                <w:sz w:val="20"/>
                <w:szCs w:val="20"/>
              </w:rPr>
            </w:pPr>
            <w:r>
              <w:rPr>
                <w:color w:val="121212"/>
                <w:sz w:val="20"/>
                <w:szCs w:val="20"/>
              </w:rPr>
              <w:t xml:space="preserve">If another firm was involved in the audit, the engagement team performed procedures to determine that firm's compliance with relevant independence requirements, including where required, receipt of appropriate confirmations. </w:t>
            </w:r>
          </w:p>
        </w:tc>
        <w:tc>
          <w:tcPr>
            <w:tcW w:w="1713" w:type="dxa"/>
            <w:tcBorders/>
            <w:shd w:fill="auto" w:val="clear"/>
          </w:tcPr>
          <w:p>
            <w:pPr>
              <w:pStyle w:val="Default"/>
              <w:spacing w:lineRule="auto" w:line="240" w:before="0" w:after="0"/>
              <w:jc w:val="both"/>
              <w:rPr>
                <w:sz w:val="20"/>
                <w:szCs w:val="20"/>
              </w:rPr>
            </w:pPr>
            <w:r>
              <w:rPr>
                <w:sz w:val="20"/>
                <w:szCs w:val="20"/>
              </w:rPr>
              <w:t>Not applicable since no other firm was involved in the audit.</w:t>
            </w:r>
          </w:p>
          <w:p>
            <w:pPr>
              <w:pStyle w:val="Default"/>
              <w:spacing w:lineRule="auto" w:line="240" w:before="0" w:after="0"/>
              <w:jc w:val="both"/>
              <w:rPr>
                <w:sz w:val="20"/>
                <w:szCs w:val="20"/>
              </w:rPr>
            </w:pPr>
            <w:r>
              <w:rPr>
                <w:sz w:val="20"/>
                <w:szCs w:val="20"/>
              </w:rPr>
            </w:r>
          </w:p>
          <w:p>
            <w:pPr>
              <w:pStyle w:val="Default"/>
              <w:spacing w:lineRule="auto" w:line="240" w:before="0" w:after="0"/>
              <w:jc w:val="both"/>
              <w:rPr>
                <w:sz w:val="20"/>
                <w:szCs w:val="20"/>
                <w:u w:val="single"/>
              </w:rPr>
            </w:pPr>
            <w:r>
              <w:rPr>
                <w:sz w:val="20"/>
                <w:szCs w:val="20"/>
                <w:u w:val="single"/>
              </w:rPr>
              <w:t>OR</w:t>
            </w:r>
          </w:p>
          <w:p>
            <w:pPr>
              <w:pStyle w:val="Default"/>
              <w:spacing w:lineRule="auto" w:line="240" w:before="0" w:after="0"/>
              <w:jc w:val="both"/>
              <w:rPr>
                <w:sz w:val="20"/>
                <w:szCs w:val="20"/>
              </w:rPr>
            </w:pPr>
            <w:r>
              <w:rPr>
                <w:sz w:val="20"/>
                <w:szCs w:val="20"/>
              </w:rPr>
            </w:r>
          </w:p>
          <w:p>
            <w:pPr>
              <w:pStyle w:val="Default"/>
              <w:spacing w:lineRule="auto" w:line="240" w:before="0" w:after="0"/>
              <w:rPr>
                <w:sz w:val="20"/>
                <w:szCs w:val="20"/>
              </w:rPr>
            </w:pPr>
            <w:r>
              <w:rPr>
                <w:sz w:val="20"/>
                <w:szCs w:val="20"/>
              </w:rPr>
              <w:t>Attach confirmation of compliance with relevant independence requirements.</w:t>
            </w:r>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0" w:type="dxa"/>
            <w:tcBorders/>
            <w:shd w:fill="auto" w:val="clear"/>
          </w:tcPr>
          <w:p>
            <w:pPr>
              <w:pStyle w:val="Default"/>
              <w:numPr>
                <w:ilvl w:val="0"/>
                <w:numId w:val="1"/>
              </w:numPr>
              <w:spacing w:lineRule="auto" w:line="240" w:before="0" w:after="0"/>
              <w:jc w:val="both"/>
              <w:rPr>
                <w:sz w:val="20"/>
                <w:szCs w:val="20"/>
              </w:rPr>
            </w:pPr>
            <w:r>
              <w:rPr>
                <w:color w:val="121212"/>
                <w:sz w:val="20"/>
                <w:szCs w:val="20"/>
              </w:rPr>
              <w:t>The engagement partner took adequate steps to ensure that there were no independence issues relating to members of the audit engagement team and the chain of command.</w:t>
            </w:r>
          </w:p>
        </w:tc>
        <w:tc>
          <w:tcPr>
            <w:tcW w:w="1713" w:type="dxa"/>
            <w:tcBorders/>
            <w:shd w:fill="auto" w:val="clear"/>
          </w:tcPr>
          <w:p>
            <w:pPr>
              <w:pStyle w:val="Default"/>
              <w:spacing w:lineRule="auto" w:line="240" w:before="0" w:after="0"/>
              <w:rPr/>
            </w:pPr>
            <w:hyperlink r:id="rId4">
              <w:r>
                <w:rPr>
                  <w:rStyle w:val="InternetLink"/>
                  <w:b/>
                  <w:sz w:val="20"/>
                  <w:szCs w:val="20"/>
                </w:rPr>
                <w:t>ECC.docx</w:t>
              </w:r>
            </w:hyperlink>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0" w:type="dxa"/>
            <w:tcBorders/>
            <w:shd w:fill="auto" w:val="clear"/>
          </w:tcPr>
          <w:p>
            <w:pPr>
              <w:pStyle w:val="Default"/>
              <w:numPr>
                <w:ilvl w:val="0"/>
                <w:numId w:val="1"/>
              </w:numPr>
              <w:spacing w:lineRule="auto" w:line="240" w:before="0" w:after="0"/>
              <w:jc w:val="both"/>
              <w:rPr>
                <w:sz w:val="20"/>
                <w:szCs w:val="20"/>
              </w:rPr>
            </w:pPr>
            <w:r>
              <w:rPr>
                <w:color w:val="121212"/>
                <w:sz w:val="20"/>
                <w:szCs w:val="20"/>
              </w:rPr>
              <w:t xml:space="preserve">Confirmed that the rotation requirements and cooling-off requirements relating to engagement partner (and EQCR, and other senior members of the engagement team, if required) have been complied with.  </w:t>
            </w:r>
          </w:p>
        </w:tc>
        <w:tc>
          <w:tcPr>
            <w:tcW w:w="1713" w:type="dxa"/>
            <w:tcBorders/>
            <w:shd w:fill="auto" w:val="clear"/>
          </w:tcPr>
          <w:p>
            <w:pPr>
              <w:pStyle w:val="Default"/>
              <w:spacing w:lineRule="auto" w:line="240" w:before="0" w:after="0"/>
              <w:rPr/>
            </w:pPr>
            <w:hyperlink r:id="rId5">
              <w:r>
                <w:rPr>
                  <w:rStyle w:val="InternetLink"/>
                  <w:b/>
                  <w:sz w:val="20"/>
                  <w:szCs w:val="20"/>
                </w:rPr>
                <w:t>Register of Number of Years of Involvement.docx</w:t>
              </w:r>
            </w:hyperlink>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0" w:type="dxa"/>
            <w:tcBorders/>
            <w:shd w:fill="auto" w:val="clear"/>
          </w:tcPr>
          <w:p>
            <w:pPr>
              <w:pStyle w:val="Default"/>
              <w:numPr>
                <w:ilvl w:val="0"/>
                <w:numId w:val="1"/>
              </w:numPr>
              <w:spacing w:lineRule="auto" w:line="240" w:before="0" w:after="0"/>
              <w:jc w:val="both"/>
              <w:rPr>
                <w:sz w:val="20"/>
                <w:szCs w:val="20"/>
              </w:rPr>
            </w:pPr>
            <w:r>
              <w:rPr>
                <w:sz w:val="20"/>
                <w:szCs w:val="20"/>
              </w:rPr>
              <w:t>If matters came to the engagement partner’s attention indicating engagement team member’s non-compliance with relevant ethical requirements, the engagement partner, in consultation with others in the firm, determined the appropriate action/safeguards.</w:t>
            </w:r>
          </w:p>
        </w:tc>
        <w:tc>
          <w:tcPr>
            <w:tcW w:w="1713" w:type="dxa"/>
            <w:tcBorders/>
            <w:shd w:fill="auto" w:val="clear"/>
          </w:tcPr>
          <w:p>
            <w:pPr>
              <w:pStyle w:val="Default"/>
              <w:spacing w:lineRule="auto" w:line="240" w:before="0" w:after="0"/>
              <w:jc w:val="both"/>
              <w:rPr>
                <w:sz w:val="20"/>
                <w:szCs w:val="20"/>
              </w:rPr>
            </w:pPr>
            <w:r>
              <w:rPr>
                <w:sz w:val="20"/>
                <w:szCs w:val="20"/>
              </w:rPr>
              <w:t>Not applicable since no such matters exist.</w:t>
            </w:r>
          </w:p>
          <w:p>
            <w:pPr>
              <w:pStyle w:val="Default"/>
              <w:spacing w:lineRule="auto" w:line="240" w:before="0" w:after="0"/>
              <w:rPr>
                <w:sz w:val="20"/>
                <w:szCs w:val="20"/>
              </w:rPr>
            </w:pPr>
            <w:r>
              <w:rPr>
                <w:sz w:val="20"/>
                <w:szCs w:val="20"/>
              </w:rPr>
            </w:r>
          </w:p>
          <w:p>
            <w:pPr>
              <w:pStyle w:val="Default"/>
              <w:spacing w:lineRule="auto" w:line="240" w:before="0" w:after="0"/>
              <w:rPr>
                <w:sz w:val="20"/>
                <w:szCs w:val="20"/>
                <w:u w:val="single"/>
              </w:rPr>
            </w:pPr>
            <w:r>
              <w:rPr>
                <w:sz w:val="20"/>
                <w:szCs w:val="20"/>
                <w:u w:val="single"/>
              </w:rPr>
              <w:t>OR</w:t>
            </w:r>
          </w:p>
          <w:p>
            <w:pPr>
              <w:pStyle w:val="Default"/>
              <w:spacing w:lineRule="auto" w:line="240" w:before="0" w:after="0"/>
              <w:rPr>
                <w:sz w:val="20"/>
                <w:szCs w:val="20"/>
                <w:u w:val="single"/>
              </w:rPr>
            </w:pPr>
            <w:r>
              <w:rPr>
                <w:sz w:val="20"/>
                <w:szCs w:val="20"/>
                <w:u w:val="single"/>
              </w:rPr>
            </w:r>
          </w:p>
          <w:p>
            <w:pPr>
              <w:pStyle w:val="Default"/>
              <w:spacing w:lineRule="auto" w:line="240" w:before="0" w:after="0"/>
              <w:rPr>
                <w:sz w:val="20"/>
                <w:szCs w:val="20"/>
              </w:rPr>
            </w:pPr>
            <w:r>
              <w:rPr>
                <w:sz w:val="20"/>
                <w:szCs w:val="20"/>
              </w:rPr>
              <w:t>Attach</w:t>
            </w:r>
          </w:p>
          <w:p>
            <w:pPr>
              <w:pStyle w:val="Default"/>
              <w:spacing w:lineRule="auto" w:line="240" w:before="0" w:after="0"/>
              <w:rPr/>
            </w:pPr>
            <w:hyperlink r:id="rId6">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c>
          <w:tcPr>
            <w:tcW w:w="5760" w:type="dxa"/>
            <w:tcBorders/>
            <w:shd w:fill="auto" w:val="clear"/>
          </w:tcPr>
          <w:p>
            <w:pPr>
              <w:pStyle w:val="Default"/>
              <w:numPr>
                <w:ilvl w:val="0"/>
                <w:numId w:val="1"/>
              </w:numPr>
              <w:spacing w:lineRule="auto" w:line="240" w:before="0" w:after="0"/>
              <w:jc w:val="both"/>
              <w:rPr>
                <w:sz w:val="20"/>
                <w:szCs w:val="20"/>
              </w:rPr>
            </w:pPr>
            <w:r>
              <w:rPr>
                <w:sz w:val="20"/>
                <w:szCs w:val="20"/>
              </w:rPr>
              <w:t xml:space="preserve">Where applicable, considered the impact of breaches and/or any matters reported to the engagement partner (including those identified during acceptance/continuance process) which had threatened, or could be perceived as threatening independence. </w:t>
            </w:r>
          </w:p>
        </w:tc>
        <w:tc>
          <w:tcPr>
            <w:tcW w:w="1713" w:type="dxa"/>
            <w:tcBorders/>
            <w:shd w:fill="auto" w:val="clear"/>
          </w:tcPr>
          <w:p>
            <w:pPr>
              <w:pStyle w:val="Default"/>
              <w:spacing w:lineRule="auto" w:line="240" w:before="0" w:after="0"/>
              <w:jc w:val="both"/>
              <w:rPr>
                <w:sz w:val="20"/>
                <w:szCs w:val="20"/>
              </w:rPr>
            </w:pPr>
            <w:r>
              <w:rPr>
                <w:sz w:val="20"/>
                <w:szCs w:val="20"/>
              </w:rPr>
              <w:t>Not applicable since no such breaches and/or other matters exist.</w:t>
            </w:r>
          </w:p>
          <w:p>
            <w:pPr>
              <w:pStyle w:val="Default"/>
              <w:spacing w:lineRule="auto" w:line="240" w:before="0" w:after="0"/>
              <w:rPr>
                <w:sz w:val="20"/>
                <w:szCs w:val="20"/>
              </w:rPr>
            </w:pPr>
            <w:r>
              <w:rPr>
                <w:sz w:val="20"/>
                <w:szCs w:val="20"/>
              </w:rPr>
            </w:r>
          </w:p>
          <w:p>
            <w:pPr>
              <w:pStyle w:val="Default"/>
              <w:spacing w:lineRule="auto" w:line="240" w:before="0" w:after="0"/>
              <w:rPr>
                <w:sz w:val="20"/>
                <w:szCs w:val="20"/>
                <w:u w:val="single"/>
              </w:rPr>
            </w:pPr>
            <w:r>
              <w:rPr>
                <w:sz w:val="20"/>
                <w:szCs w:val="20"/>
                <w:u w:val="single"/>
              </w:rPr>
              <w:t>OR</w:t>
            </w:r>
          </w:p>
          <w:p>
            <w:pPr>
              <w:pStyle w:val="Default"/>
              <w:spacing w:lineRule="auto" w:line="240" w:before="0" w:after="0"/>
              <w:rPr>
                <w:sz w:val="20"/>
                <w:szCs w:val="20"/>
                <w:u w:val="single"/>
              </w:rPr>
            </w:pPr>
            <w:r>
              <w:rPr>
                <w:sz w:val="20"/>
                <w:szCs w:val="20"/>
                <w:u w:val="single"/>
              </w:rPr>
            </w:r>
          </w:p>
          <w:p>
            <w:pPr>
              <w:pStyle w:val="Default"/>
              <w:spacing w:lineRule="auto" w:line="240" w:before="0" w:after="0"/>
              <w:rPr>
                <w:sz w:val="20"/>
                <w:szCs w:val="20"/>
              </w:rPr>
            </w:pPr>
            <w:r>
              <w:rPr>
                <w:sz w:val="20"/>
                <w:szCs w:val="20"/>
              </w:rPr>
              <w:t>Attach</w:t>
            </w:r>
          </w:p>
          <w:p>
            <w:pPr>
              <w:pStyle w:val="Default"/>
              <w:spacing w:lineRule="auto" w:line="240" w:before="0" w:after="0"/>
              <w:rPr/>
            </w:pPr>
            <w:hyperlink r:id="rId7">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rHeight w:val="4140" w:hRule="atLeast"/>
        </w:trPr>
        <w:tc>
          <w:tcPr>
            <w:tcW w:w="5760" w:type="dxa"/>
            <w:tcBorders/>
            <w:shd w:fill="auto" w:val="clear"/>
          </w:tcPr>
          <w:p>
            <w:pPr>
              <w:pStyle w:val="Default"/>
              <w:numPr>
                <w:ilvl w:val="0"/>
                <w:numId w:val="1"/>
              </w:numPr>
              <w:spacing w:lineRule="auto" w:line="240" w:before="0" w:after="0"/>
              <w:jc w:val="both"/>
              <w:rPr>
                <w:sz w:val="20"/>
                <w:szCs w:val="20"/>
              </w:rPr>
            </w:pPr>
            <w:r>
              <w:rPr>
                <w:sz w:val="20"/>
                <w:szCs w:val="20"/>
              </w:rPr>
              <w:t xml:space="preserve">Where applicable, breaches and/or other matters identified were reported to those charged with governance; evaluated; and where necessary, appropriate action was taken to eliminate the threat or reduce it to an acceptable level and the following was considered in </w:t>
            </w:r>
            <w:r>
              <w:rPr>
                <w:color w:val="121212"/>
                <w:sz w:val="20"/>
                <w:szCs w:val="20"/>
              </w:rPr>
              <w:t>documentation:</w:t>
            </w:r>
          </w:p>
          <w:p>
            <w:pPr>
              <w:pStyle w:val="Default"/>
              <w:numPr>
                <w:ilvl w:val="1"/>
                <w:numId w:val="1"/>
              </w:numPr>
              <w:spacing w:lineRule="auto" w:line="240" w:before="0" w:after="0"/>
              <w:jc w:val="both"/>
              <w:rPr>
                <w:sz w:val="20"/>
                <w:szCs w:val="20"/>
              </w:rPr>
            </w:pPr>
            <w:r>
              <w:rPr>
                <w:color w:val="121212"/>
                <w:sz w:val="20"/>
                <w:szCs w:val="20"/>
              </w:rPr>
              <w:t xml:space="preserve">When safeguards are required to reduce a threat to an acceptable level - the nature of the threat and the safeguards that reduce the threat to an acceptable level was documented; and </w:t>
            </w:r>
          </w:p>
          <w:p>
            <w:pPr>
              <w:pStyle w:val="Default"/>
              <w:numPr>
                <w:ilvl w:val="1"/>
                <w:numId w:val="1"/>
              </w:numPr>
              <w:spacing w:lineRule="auto" w:line="240" w:before="0" w:after="0"/>
              <w:jc w:val="both"/>
              <w:rPr>
                <w:sz w:val="20"/>
                <w:szCs w:val="20"/>
              </w:rPr>
            </w:pPr>
            <w:r>
              <w:rPr>
                <w:color w:val="121212"/>
                <w:sz w:val="20"/>
                <w:szCs w:val="20"/>
              </w:rPr>
              <w:t>When a threat required significant evaluation to determine whether safeguards were necessary and the assurance engagement partner concluded that they were not because the threat was already at an acceptable level - the nature of the threat and the rationale for the conclusion was documented.</w:t>
            </w:r>
          </w:p>
          <w:p>
            <w:pPr>
              <w:pStyle w:val="Default"/>
              <w:numPr>
                <w:ilvl w:val="1"/>
                <w:numId w:val="1"/>
              </w:numPr>
              <w:spacing w:lineRule="auto" w:line="240" w:before="0" w:after="0"/>
              <w:jc w:val="both"/>
              <w:rPr>
                <w:sz w:val="20"/>
                <w:szCs w:val="20"/>
              </w:rPr>
            </w:pPr>
            <w:r>
              <w:rPr>
                <w:color w:val="121212"/>
                <w:sz w:val="20"/>
                <w:szCs w:val="20"/>
              </w:rPr>
              <w:t>The above evaluation of threats and safeguards undertaken considered the cumulative effect of multiple threats.</w:t>
            </w:r>
          </w:p>
        </w:tc>
        <w:tc>
          <w:tcPr>
            <w:tcW w:w="1713" w:type="dxa"/>
            <w:tcBorders/>
            <w:shd w:fill="auto" w:val="clear"/>
          </w:tcPr>
          <w:p>
            <w:pPr>
              <w:pStyle w:val="Default"/>
              <w:spacing w:lineRule="auto" w:line="240" w:before="0" w:after="0"/>
              <w:jc w:val="both"/>
              <w:rPr>
                <w:sz w:val="20"/>
                <w:szCs w:val="20"/>
              </w:rPr>
            </w:pPr>
            <w:r>
              <w:rPr>
                <w:sz w:val="20"/>
                <w:szCs w:val="20"/>
              </w:rPr>
              <w:t>Not applicable since no such breaches/ other matters exist.</w:t>
            </w:r>
          </w:p>
          <w:p>
            <w:pPr>
              <w:pStyle w:val="Default"/>
              <w:spacing w:lineRule="auto" w:line="240" w:before="0" w:after="0"/>
              <w:rPr>
                <w:sz w:val="20"/>
                <w:szCs w:val="20"/>
              </w:rPr>
            </w:pPr>
            <w:r>
              <w:rPr>
                <w:sz w:val="20"/>
                <w:szCs w:val="20"/>
              </w:rPr>
            </w:r>
          </w:p>
          <w:p>
            <w:pPr>
              <w:pStyle w:val="Default"/>
              <w:spacing w:lineRule="auto" w:line="240" w:before="0" w:after="0"/>
              <w:rPr>
                <w:sz w:val="20"/>
                <w:szCs w:val="20"/>
                <w:u w:val="single"/>
              </w:rPr>
            </w:pPr>
            <w:r>
              <w:rPr>
                <w:sz w:val="20"/>
                <w:szCs w:val="20"/>
                <w:u w:val="single"/>
              </w:rPr>
              <w:t>OR</w:t>
            </w:r>
          </w:p>
          <w:p>
            <w:pPr>
              <w:pStyle w:val="Default"/>
              <w:spacing w:lineRule="auto" w:line="240" w:before="0" w:after="0"/>
              <w:jc w:val="center"/>
              <w:rPr>
                <w:sz w:val="20"/>
                <w:szCs w:val="20"/>
                <w:u w:val="single"/>
              </w:rPr>
            </w:pPr>
            <w:r>
              <w:rPr>
                <w:sz w:val="20"/>
                <w:szCs w:val="20"/>
                <w:u w:val="single"/>
              </w:rPr>
            </w:r>
          </w:p>
          <w:p>
            <w:pPr>
              <w:pStyle w:val="Default"/>
              <w:spacing w:lineRule="auto" w:line="240" w:before="0" w:after="0"/>
              <w:rPr>
                <w:sz w:val="20"/>
                <w:szCs w:val="20"/>
              </w:rPr>
            </w:pPr>
            <w:r>
              <w:rPr>
                <w:sz w:val="20"/>
                <w:szCs w:val="20"/>
              </w:rPr>
              <w:t>Attach any minutes/memos/written communication with those charged with governance</w:t>
            </w:r>
          </w:p>
          <w:p>
            <w:pPr>
              <w:pStyle w:val="Default"/>
              <w:spacing w:lineRule="auto" w:line="240" w:before="0" w:after="0"/>
              <w:rPr>
                <w:sz w:val="20"/>
                <w:szCs w:val="20"/>
                <w:u w:val="single"/>
              </w:rPr>
            </w:pPr>
            <w:r>
              <w:rPr>
                <w:sz w:val="20"/>
                <w:szCs w:val="20"/>
                <w:u w:val="single"/>
              </w:rPr>
            </w:r>
          </w:p>
          <w:p>
            <w:pPr>
              <w:pStyle w:val="Default"/>
              <w:spacing w:lineRule="auto" w:line="240" w:before="0" w:after="0"/>
              <w:rPr>
                <w:sz w:val="20"/>
                <w:szCs w:val="20"/>
              </w:rPr>
            </w:pPr>
            <w:r>
              <w:rPr>
                <w:sz w:val="20"/>
                <w:szCs w:val="20"/>
              </w:rPr>
              <w:t>Attach</w:t>
            </w:r>
          </w:p>
          <w:p>
            <w:pPr>
              <w:pStyle w:val="Default"/>
              <w:spacing w:lineRule="auto" w:line="240" w:before="0" w:after="0"/>
              <w:rPr/>
            </w:pPr>
            <w:hyperlink r:id="rId8">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c>
          <w:tcPr>
            <w:tcW w:w="5760" w:type="dxa"/>
            <w:tcBorders/>
            <w:shd w:fill="auto" w:val="clear"/>
          </w:tcPr>
          <w:p>
            <w:pPr>
              <w:pStyle w:val="Default"/>
              <w:numPr>
                <w:ilvl w:val="0"/>
                <w:numId w:val="1"/>
              </w:numPr>
              <w:spacing w:lineRule="auto" w:line="240" w:before="0" w:after="0"/>
              <w:jc w:val="both"/>
              <w:rPr>
                <w:sz w:val="20"/>
                <w:szCs w:val="20"/>
              </w:rPr>
            </w:pPr>
            <w:r>
              <w:rPr>
                <w:color w:val="121212"/>
                <w:sz w:val="20"/>
                <w:szCs w:val="20"/>
              </w:rPr>
              <w:t>Where applicable, for a new client, the engagement partner considered whether it is appropriate to discuss with client management and/or those charged with governance any significant matters arising and any safeguards to be put in place to eliminate any threat to independence or to reduce it to an acceptable level.</w:t>
            </w:r>
          </w:p>
        </w:tc>
        <w:tc>
          <w:tcPr>
            <w:tcW w:w="1713" w:type="dxa"/>
            <w:tcBorders/>
            <w:shd w:fill="auto" w:val="clear"/>
          </w:tcPr>
          <w:p>
            <w:pPr>
              <w:pStyle w:val="Default"/>
              <w:spacing w:lineRule="auto" w:line="240" w:before="0" w:after="0"/>
              <w:jc w:val="both"/>
              <w:rPr>
                <w:color w:val="121212"/>
                <w:sz w:val="20"/>
                <w:szCs w:val="20"/>
              </w:rPr>
            </w:pPr>
            <w:r>
              <w:rPr>
                <w:color w:val="121212"/>
                <w:sz w:val="20"/>
                <w:szCs w:val="20"/>
              </w:rPr>
              <w:t>Not applicable since it is not a new client and/or no such significant matters exist.</w:t>
            </w:r>
          </w:p>
          <w:p>
            <w:pPr>
              <w:pStyle w:val="Default"/>
              <w:spacing w:lineRule="auto" w:line="240" w:before="0" w:after="0"/>
              <w:rPr>
                <w:color w:val="121212"/>
                <w:sz w:val="20"/>
                <w:szCs w:val="20"/>
              </w:rPr>
            </w:pPr>
            <w:r>
              <w:rPr>
                <w:color w:val="121212"/>
                <w:sz w:val="20"/>
                <w:szCs w:val="20"/>
              </w:rPr>
            </w:r>
          </w:p>
          <w:p>
            <w:pPr>
              <w:pStyle w:val="Default"/>
              <w:spacing w:lineRule="auto" w:line="240" w:before="0" w:after="0"/>
              <w:rPr>
                <w:color w:val="121212"/>
                <w:sz w:val="20"/>
                <w:szCs w:val="20"/>
                <w:u w:val="single"/>
              </w:rPr>
            </w:pPr>
            <w:r>
              <w:rPr>
                <w:color w:val="121212"/>
                <w:sz w:val="20"/>
                <w:szCs w:val="20"/>
                <w:u w:val="single"/>
              </w:rPr>
              <w:t>OR</w:t>
            </w:r>
          </w:p>
          <w:p>
            <w:pPr>
              <w:pStyle w:val="Default"/>
              <w:spacing w:lineRule="auto" w:line="240" w:before="0" w:after="0"/>
              <w:rPr>
                <w:color w:val="121212"/>
                <w:sz w:val="20"/>
                <w:szCs w:val="20"/>
                <w:u w:val="single"/>
              </w:rPr>
            </w:pPr>
            <w:r>
              <w:rPr>
                <w:color w:val="121212"/>
                <w:sz w:val="20"/>
                <w:szCs w:val="20"/>
                <w:u w:val="single"/>
              </w:rPr>
            </w:r>
          </w:p>
          <w:p>
            <w:pPr>
              <w:pStyle w:val="Default"/>
              <w:spacing w:lineRule="auto" w:line="240" w:before="0" w:after="0"/>
              <w:rPr>
                <w:color w:val="121212"/>
                <w:sz w:val="20"/>
                <w:szCs w:val="20"/>
              </w:rPr>
            </w:pPr>
            <w:r>
              <w:rPr>
                <w:color w:val="121212"/>
                <w:sz w:val="20"/>
                <w:szCs w:val="20"/>
              </w:rPr>
              <w:t>Attach minutes/memos/written communication with client.</w:t>
            </w:r>
          </w:p>
        </w:tc>
        <w:tc>
          <w:tcPr>
            <w:tcW w:w="1887" w:type="dxa"/>
            <w:tcBorders/>
            <w:shd w:fill="auto" w:val="clear"/>
          </w:tcPr>
          <w:p>
            <w:pPr>
              <w:pStyle w:val="Default"/>
              <w:spacing w:lineRule="auto" w:line="240" w:before="0" w:after="0"/>
              <w:rPr>
                <w:color w:val="121212"/>
                <w:sz w:val="20"/>
                <w:szCs w:val="20"/>
              </w:rPr>
            </w:pPr>
            <w:r>
              <w:rPr>
                <w:color w:val="121212"/>
                <w:sz w:val="20"/>
                <w:szCs w:val="20"/>
              </w:rPr>
            </w:r>
          </w:p>
        </w:tc>
      </w:tr>
      <w:tr>
        <w:trPr/>
        <w:tc>
          <w:tcPr>
            <w:tcW w:w="5760" w:type="dxa"/>
            <w:tcBorders/>
            <w:shd w:fill="auto" w:val="clear"/>
          </w:tcPr>
          <w:p>
            <w:pPr>
              <w:pStyle w:val="Default"/>
              <w:numPr>
                <w:ilvl w:val="0"/>
                <w:numId w:val="1"/>
              </w:numPr>
              <w:spacing w:lineRule="auto" w:line="240" w:before="0" w:after="0"/>
              <w:jc w:val="both"/>
              <w:rPr>
                <w:sz w:val="20"/>
                <w:szCs w:val="20"/>
              </w:rPr>
            </w:pPr>
            <w:r>
              <w:rPr>
                <w:sz w:val="20"/>
                <w:szCs w:val="20"/>
              </w:rPr>
              <w:t>The engagement partner formed a conclusion on compliance with independence requirements and ensured that it remains appropriate.</w:t>
            </w:r>
          </w:p>
        </w:tc>
        <w:tc>
          <w:tcPr>
            <w:tcW w:w="1713" w:type="dxa"/>
            <w:tcBorders/>
            <w:shd w:fill="auto" w:val="clear"/>
          </w:tcPr>
          <w:p>
            <w:pPr>
              <w:pStyle w:val="Default"/>
              <w:spacing w:lineRule="auto" w:line="240" w:before="0" w:after="0"/>
              <w:rPr/>
            </w:pPr>
            <w:hyperlink r:id="rId9">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r>
        <w:trPr>
          <w:trHeight w:val="2530" w:hRule="atLeast"/>
        </w:trPr>
        <w:tc>
          <w:tcPr>
            <w:tcW w:w="5760" w:type="dxa"/>
            <w:tcBorders/>
            <w:shd w:fill="auto" w:val="clear"/>
          </w:tcPr>
          <w:p>
            <w:pPr>
              <w:pStyle w:val="Default"/>
              <w:numPr>
                <w:ilvl w:val="0"/>
                <w:numId w:val="1"/>
              </w:numPr>
              <w:spacing w:lineRule="auto" w:line="240" w:before="0" w:after="0"/>
              <w:jc w:val="both"/>
              <w:rPr>
                <w:sz w:val="20"/>
                <w:szCs w:val="20"/>
              </w:rPr>
            </w:pPr>
            <w:r>
              <w:rPr>
                <w:sz w:val="20"/>
                <w:szCs w:val="20"/>
              </w:rPr>
              <w:t>With regards to documentation, the engagement team:</w:t>
            </w:r>
          </w:p>
          <w:p>
            <w:pPr>
              <w:pStyle w:val="Default"/>
              <w:numPr>
                <w:ilvl w:val="1"/>
                <w:numId w:val="1"/>
              </w:numPr>
              <w:spacing w:lineRule="auto" w:line="240" w:before="0" w:after="0"/>
              <w:jc w:val="both"/>
              <w:rPr>
                <w:sz w:val="20"/>
                <w:szCs w:val="20"/>
              </w:rPr>
            </w:pPr>
            <w:r>
              <w:rPr>
                <w:sz w:val="20"/>
                <w:szCs w:val="20"/>
              </w:rPr>
              <w:t>Completed engagement compliance confirmation.</w:t>
            </w:r>
          </w:p>
          <w:p>
            <w:pPr>
              <w:pStyle w:val="Default"/>
              <w:numPr>
                <w:ilvl w:val="1"/>
                <w:numId w:val="1"/>
              </w:numPr>
              <w:spacing w:lineRule="auto" w:line="240" w:before="0" w:after="0"/>
              <w:jc w:val="both"/>
              <w:rPr>
                <w:sz w:val="20"/>
                <w:szCs w:val="20"/>
              </w:rPr>
            </w:pPr>
            <w:r>
              <w:rPr>
                <w:color w:val="121212"/>
                <w:sz w:val="20"/>
                <w:szCs w:val="20"/>
              </w:rPr>
              <w:t>Maintained a register of number of years of involvement with the client.</w:t>
            </w:r>
          </w:p>
          <w:p>
            <w:pPr>
              <w:pStyle w:val="Default"/>
              <w:numPr>
                <w:ilvl w:val="1"/>
                <w:numId w:val="1"/>
              </w:numPr>
              <w:spacing w:lineRule="auto" w:line="240" w:before="0" w:after="0"/>
              <w:jc w:val="both"/>
              <w:rPr>
                <w:sz w:val="20"/>
                <w:szCs w:val="20"/>
              </w:rPr>
            </w:pPr>
            <w:r>
              <w:rPr>
                <w:color w:val="121212"/>
                <w:sz w:val="20"/>
                <w:szCs w:val="20"/>
              </w:rPr>
              <w:t>Maintained a register of non-audit services provided to the client.</w:t>
            </w:r>
          </w:p>
          <w:p>
            <w:pPr>
              <w:pStyle w:val="Default"/>
              <w:numPr>
                <w:ilvl w:val="1"/>
                <w:numId w:val="1"/>
              </w:numPr>
              <w:spacing w:lineRule="auto" w:line="240" w:before="0" w:after="0"/>
              <w:jc w:val="both"/>
              <w:rPr>
                <w:sz w:val="20"/>
                <w:szCs w:val="20"/>
              </w:rPr>
            </w:pPr>
            <w:r>
              <w:rPr>
                <w:color w:val="121212"/>
                <w:sz w:val="20"/>
                <w:szCs w:val="20"/>
              </w:rPr>
              <w:t>Documented issues identified with respect to compliance with ethical requirements and how they were resolved and conclusions regarding compliance with independence requirements and the substance of any relevant consultation to support those conclusions.</w:t>
            </w:r>
          </w:p>
        </w:tc>
        <w:tc>
          <w:tcPr>
            <w:tcW w:w="1713" w:type="dxa"/>
            <w:tcBorders/>
            <w:shd w:fill="auto" w:val="clear"/>
          </w:tcPr>
          <w:p>
            <w:pPr>
              <w:pStyle w:val="Default"/>
              <w:spacing w:lineRule="auto" w:line="240" w:before="0" w:after="0"/>
              <w:rPr/>
            </w:pPr>
            <w:hyperlink r:id="rId10">
              <w:r>
                <w:rPr>
                  <w:rStyle w:val="InternetLink"/>
                  <w:b/>
                  <w:sz w:val="20"/>
                  <w:szCs w:val="20"/>
                </w:rPr>
                <w:t>ECC.docx</w:t>
              </w:r>
            </w:hyperlink>
          </w:p>
          <w:p>
            <w:pPr>
              <w:pStyle w:val="Default"/>
              <w:spacing w:lineRule="auto" w:line="240" w:before="0" w:after="0"/>
              <w:rPr>
                <w:b/>
                <w:b/>
                <w:color w:val="121212"/>
                <w:sz w:val="20"/>
                <w:szCs w:val="20"/>
              </w:rPr>
            </w:pPr>
            <w:r>
              <w:rPr>
                <w:b/>
                <w:color w:val="121212"/>
                <w:sz w:val="20"/>
                <w:szCs w:val="20"/>
              </w:rPr>
            </w:r>
          </w:p>
          <w:p>
            <w:pPr>
              <w:pStyle w:val="Default"/>
              <w:spacing w:lineRule="auto" w:line="240" w:before="0" w:after="0"/>
              <w:rPr/>
            </w:pPr>
            <w:hyperlink r:id="rId11">
              <w:r>
                <w:rPr>
                  <w:rStyle w:val="InternetLink"/>
                  <w:b/>
                  <w:sz w:val="20"/>
                  <w:szCs w:val="20"/>
                </w:rPr>
                <w:t>Register of Number of Years of Involvement.docx</w:t>
              </w:r>
            </w:hyperlink>
          </w:p>
          <w:p>
            <w:pPr>
              <w:pStyle w:val="Default"/>
              <w:spacing w:lineRule="auto" w:line="240" w:before="0" w:after="0"/>
              <w:rPr/>
            </w:pPr>
            <w:r>
              <w:rPr/>
            </w:r>
          </w:p>
          <w:p>
            <w:pPr>
              <w:pStyle w:val="Default"/>
              <w:spacing w:lineRule="auto" w:line="240" w:before="0" w:after="0"/>
              <w:rPr/>
            </w:pPr>
            <w:hyperlink r:id="rId12">
              <w:r>
                <w:rPr>
                  <w:rStyle w:val="InternetLink"/>
                  <w:b/>
                  <w:sz w:val="20"/>
                  <w:szCs w:val="20"/>
                </w:rPr>
                <w:t>Register of Non-Audit Services.docx</w:t>
              </w:r>
            </w:hyperlink>
          </w:p>
          <w:p>
            <w:pPr>
              <w:pStyle w:val="Default"/>
              <w:spacing w:lineRule="auto" w:line="240" w:before="0" w:after="0"/>
              <w:rPr/>
            </w:pPr>
            <w:r>
              <w:rPr/>
            </w:r>
          </w:p>
          <w:p>
            <w:pPr>
              <w:pStyle w:val="Default"/>
              <w:spacing w:lineRule="auto" w:line="240" w:before="0" w:after="0"/>
              <w:rPr/>
            </w:pPr>
            <w:hyperlink r:id="rId13">
              <w:r>
                <w:rPr>
                  <w:rStyle w:val="InternetLink"/>
                  <w:b/>
                  <w:sz w:val="20"/>
                  <w:szCs w:val="20"/>
                </w:rPr>
                <w:t>Threats to Independence.docx</w:t>
              </w:r>
            </w:hyperlink>
          </w:p>
        </w:tc>
        <w:tc>
          <w:tcPr>
            <w:tcW w:w="1887" w:type="dxa"/>
            <w:tcBorders/>
            <w:shd w:fill="auto" w:val="clear"/>
          </w:tcPr>
          <w:p>
            <w:pPr>
              <w:pStyle w:val="Default"/>
              <w:spacing w:lineRule="auto" w:line="240" w:before="0" w:after="0"/>
              <w:rPr>
                <w:sz w:val="20"/>
                <w:szCs w:val="20"/>
              </w:rPr>
            </w:pPr>
            <w:r>
              <w:rPr>
                <w:sz w:val="20"/>
                <w:szCs w:val="20"/>
              </w:rPr>
            </w:r>
          </w:p>
        </w:tc>
      </w:tr>
    </w:tbl>
    <w:p>
      <w:pPr>
        <w:pStyle w:val="Default"/>
        <w:spacing w:before="240" w:after="160"/>
        <w:jc w:val="both"/>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8639741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align>center</wp:align>
              </wp:positionH>
              <wp:positionV relativeFrom="paragraph">
                <wp:posOffset>-351155</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280"/>
                          <a:ext cx="1050120" cy="519480"/>
                        </a:xfrm>
                        <a:prstGeom prst="rect">
                          <a:avLst/>
                        </a:prstGeom>
                        <a:ln>
                          <a:noFill/>
                        </a:ln>
                      </pic:spPr>
                    </pic:pic>
                  </wpg:wgp>
                </a:graphicData>
              </a:graphic>
            </wp:anchor>
          </w:drawing>
        </mc:Choice>
        <mc:Fallback>
          <w:pict>
            <v:group id="shape_0" alt="Group 5" style="position:absolute;margin-left:-23.05pt;margin-top:-27.65pt;width:514.1pt;height:55.55pt" coordorigin="-461,-553" coordsize="10282,1111">
              <v:rect id="shape_0" fillcolor="white" stroked="f" style="position:absolute;left:-461;top:-553;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1;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6cf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c30e9"/>
    <w:rPr>
      <w:color w:val="0563C1" w:themeColor="hyperlink"/>
      <w:u w:val="single"/>
    </w:rPr>
  </w:style>
  <w:style w:type="character" w:styleId="FollowedHyperlink">
    <w:name w:val="FollowedHyperlink"/>
    <w:basedOn w:val="DefaultParagraphFont"/>
    <w:uiPriority w:val="99"/>
    <w:semiHidden/>
    <w:unhideWhenUsed/>
    <w:qFormat/>
    <w:rsid w:val="005f5eb0"/>
    <w:rPr>
      <w:color w:val="954F72" w:themeColor="followedHyperlink"/>
      <w:u w:val="single"/>
    </w:rPr>
  </w:style>
  <w:style w:type="character" w:styleId="HeaderChar" w:customStyle="1">
    <w:name w:val="Header Char"/>
    <w:basedOn w:val="DefaultParagraphFont"/>
    <w:link w:val="Header"/>
    <w:uiPriority w:val="99"/>
    <w:qFormat/>
    <w:rsid w:val="00bf322e"/>
    <w:rPr/>
  </w:style>
  <w:style w:type="character" w:styleId="FooterChar" w:customStyle="1">
    <w:name w:val="Footer Char"/>
    <w:basedOn w:val="DefaultParagraphFont"/>
    <w:link w:val="Footer"/>
    <w:uiPriority w:val="99"/>
    <w:qFormat/>
    <w:rsid w:val="00bf322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sz w:val="20"/>
      <w:szCs w:val="20"/>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96cf7"/>
    <w:pPr>
      <w:spacing w:before="0" w:after="160"/>
      <w:ind w:left="720" w:hanging="0"/>
      <w:contextualSpacing/>
    </w:pPr>
    <w:rPr/>
  </w:style>
  <w:style w:type="paragraph" w:styleId="Default" w:customStyle="1">
    <w:name w:val="Default"/>
    <w:qFormat/>
    <w:rsid w:val="00196cf7"/>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bf322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322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f32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3%20Pre-engagement/2.%20Professional%20Ethics%20and%20Independence/Threats%20to%20Independence.docx" TargetMode="External"/><Relationship Id="rId3" Type="http://schemas.openxmlformats.org/officeDocument/2006/relationships/hyperlink" Target="../../../../../G:/My%20Drive/MZCO/Audit%20Manual/1.%20Planning/1-3%20Pre-engagement/2.%20Professional%20Ethics%20and%20Independence/Register%20of%20Non-Audit%20Services.docx" TargetMode="External"/><Relationship Id="rId4" Type="http://schemas.openxmlformats.org/officeDocument/2006/relationships/hyperlink" Target="ECC.docx" TargetMode="External"/><Relationship Id="rId5" Type="http://schemas.openxmlformats.org/officeDocument/2006/relationships/hyperlink" Target="Register%20of%20Number%20of%20Years%20of%20Involvement.docx" TargetMode="External"/><Relationship Id="rId6" Type="http://schemas.openxmlformats.org/officeDocument/2006/relationships/hyperlink" Target="../../../../../G:/My%20Drive/MZCO/Audit%20Manual/1.%20Planning/1-3%20Pre-engagement/2.%20Professional%20Ethics%20and%20Independence/Threats%20to%20Independence.docx" TargetMode="External"/><Relationship Id="rId7" Type="http://schemas.openxmlformats.org/officeDocument/2006/relationships/hyperlink" Target="../../../../../G:/My%20Drive/MZCO/Audit%20Manual/1.%20Planning/1-3%20Pre-engagement/2.%20Professional%20Ethics%20and%20Independence/Threats%20to%20Independence.docx" TargetMode="External"/><Relationship Id="rId8" Type="http://schemas.openxmlformats.org/officeDocument/2006/relationships/hyperlink" Target="../../../../../G:/My%20Drive/MZCO/Audit%20Manual/1.%20Planning/1-3%20Pre-engagement/2.%20Professional%20Ethics%20and%20Independence/Threats%20to%20Independence.docx" TargetMode="External"/><Relationship Id="rId9" Type="http://schemas.openxmlformats.org/officeDocument/2006/relationships/hyperlink" Target="../../../../../G:/My%20Drive/MZCO/Audit%20Manual/1.%20Planning/1-3%20Pre-engagement/2.%20Professional%20Ethics%20and%20Independence/Threats%20to%20Independence.docx" TargetMode="External"/><Relationship Id="rId10" Type="http://schemas.openxmlformats.org/officeDocument/2006/relationships/hyperlink" Target="../../../../../G:/My%20Drive/MZCO/Audit%20Manual/1.%20Planning/1-3%20Pre-engagement/2.%20Professional%20Ethics%20and%20Independence/ECC.docx" TargetMode="External"/><Relationship Id="rId11" Type="http://schemas.openxmlformats.org/officeDocument/2006/relationships/hyperlink" Target="../../../../../G:/My%20Drive/MZCO/Audit%20Manual/1.%20Planning/1-3%20Pre-engagement/2.%20Professional%20Ethics%20and%20Independence/Register%20of%20Number%20of%20Years%20of%20Involvement.docx" TargetMode="External"/><Relationship Id="rId12" Type="http://schemas.openxmlformats.org/officeDocument/2006/relationships/hyperlink" Target="../../../../../G:/My%20Drive/MZCO/Audit%20Manual/1.%20Planning/1-3%20Pre-engagement/2.%20Professional%20Ethics%20and%20Independence/Register%20of%20Non-Audit%20Services.docx" TargetMode="External"/><Relationship Id="rId13" Type="http://schemas.openxmlformats.org/officeDocument/2006/relationships/hyperlink" Target="../../../../../G:/My%20Drive/MZCO/Audit%20Manual/1.%20Planning/1-3%20Pre-engagement/2.%20Professional%20Ethics%20and%20Independence/Threats%20to%20Independence.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84A7-5DCF-4189-83C3-46FD257B3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Application>LibreOffice/6.1.5.2$Linux_X86_64 LibreOffice_project/10$Build-2</Application>
  <Pages>3</Pages>
  <Words>624</Words>
  <Characters>3744</Characters>
  <CharactersWithSpaces>4293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2022-06-20T09:58:00Z</dcterms:created>
  <dc:creator>Maham Moin</dc:creator>
  <dc:description/>
  <dc:language>en-US</dc:language>
  <cp:lastModifiedBy/>
  <dcterms:modified xsi:type="dcterms:W3CDTF">2022-09-21T15:46:36Z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