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1" w:name="_GoBack"/>
      <w:bookmarkStart w:id="2" w:name="_GoBack"/>
      <w:bookmarkEnd w:id="2"/>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identification and assessment of the significance of any threat to the audit firm’s independence from the provision of accounting and tax compliance services; the safeguards to be applied; and the conclusions reached in this regard.</w:t>
      </w:r>
    </w:p>
    <w:p>
      <w:pPr>
        <w:pStyle w:val="Normal"/>
        <w:spacing w:lineRule="auto" w:line="240" w:before="240" w:after="160"/>
        <w:jc w:val="both"/>
        <w:rPr>
          <w:rFonts w:ascii="Arial" w:hAnsi="Arial" w:cs="Arial"/>
          <w:sz w:val="20"/>
          <w:szCs w:val="20"/>
        </w:rPr>
      </w:pPr>
      <w:r>
        <w:rPr>
          <w:rFonts w:cs="Arial" w:ascii="Arial" w:hAnsi="Arial"/>
          <w:sz w:val="20"/>
          <w:szCs w:val="20"/>
        </w:rPr>
        <w:t>The comments column shall specifically document evaluation of any threats identified; and the safeguards to be applied or rationale for no safeguards.</w:t>
      </w:r>
    </w:p>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Register of Non-Audit Services</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768"/>
        <w:gridCol w:w="764"/>
        <w:gridCol w:w="764"/>
        <w:gridCol w:w="762"/>
        <w:gridCol w:w="764"/>
        <w:gridCol w:w="764"/>
        <w:gridCol w:w="3"/>
        <w:gridCol w:w="2770"/>
      </w:tblGrid>
      <w:tr>
        <w:trPr>
          <w:trHeight w:val="543" w:hRule="atLeast"/>
        </w:trPr>
        <w:tc>
          <w:tcPr>
            <w:tcW w:w="2768" w:type="dxa"/>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Type of service</w:t>
            </w:r>
          </w:p>
        </w:tc>
        <w:tc>
          <w:tcPr>
            <w:tcW w:w="3821" w:type="dxa"/>
            <w:gridSpan w:val="6"/>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 xml:space="preserve">Threats ( </w:t>
            </w:r>
            <w:r>
              <w:rPr>
                <w:rFonts w:eastAsia="Wingdings" w:cs="Wingdings" w:ascii="Wingdings" w:hAnsi="Wingdings"/>
                <w:b/>
                <w:sz w:val="20"/>
                <w:szCs w:val="20"/>
              </w:rPr>
              <w:t></w:t>
            </w:r>
            <w:r>
              <w:rPr>
                <w:rFonts w:cs="Arial" w:ascii="Arial" w:hAnsi="Arial"/>
                <w:b/>
                <w:sz w:val="20"/>
                <w:szCs w:val="20"/>
              </w:rPr>
              <w:t xml:space="preserve"> those that apply)</w:t>
            </w:r>
          </w:p>
        </w:tc>
        <w:tc>
          <w:tcPr>
            <w:tcW w:w="2770" w:type="dxa"/>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Comments</w:t>
            </w:r>
          </w:p>
        </w:tc>
      </w:tr>
      <w:tr>
        <w:trPr>
          <w:trHeight w:val="279" w:hRule="atLeast"/>
        </w:trPr>
        <w:tc>
          <w:tcPr>
            <w:tcW w:w="2768" w:type="dxa"/>
            <w:tcBorders/>
            <w:shd w:color="auto" w:fill="D9E2F3" w:themeFill="accent5" w:themeFillTint="33"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SI</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SR</w:t>
            </w:r>
          </w:p>
        </w:tc>
        <w:tc>
          <w:tcPr>
            <w:tcW w:w="762"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A</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F</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I</w:t>
            </w:r>
          </w:p>
        </w:tc>
        <w:tc>
          <w:tcPr>
            <w:tcW w:w="2773" w:type="dxa"/>
            <w:gridSpan w:val="2"/>
            <w:tcBorders/>
            <w:shd w:color="auto" w:fill="D9E2F3" w:themeFill="accent5" w:themeFillTint="33"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Accounting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Tax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Internal Audit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IT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Valuation/Actuarial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Legal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Corporate Finance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Transaction Related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9359" w:type="dxa"/>
            <w:gridSpan w:val="8"/>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Conclusion: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There are no non-audit services provided to the client.</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There are no threats arising from any non-audit services provided to the client.</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 safeguards identified ensure that any non-audit services provided to the audit client do not jeopardize the firm’s objectivity and independence.</w:t>
            </w:r>
          </w:p>
        </w:tc>
      </w:tr>
    </w:tbl>
    <w:p>
      <w:pPr>
        <w:pStyle w:val="Normal"/>
        <w:spacing w:lineRule="auto" w:line="240" w:before="0" w:after="0"/>
        <w:jc w:val="both"/>
        <w:rPr/>
      </w:pPr>
      <w:r>
        <w:rPr>
          <w:rFonts w:cs="Arial" w:ascii="Arial" w:hAnsi="Arial"/>
          <w:sz w:val="20"/>
          <w:szCs w:val="20"/>
        </w:rPr>
        <w:t>*SI = self-interest; SR = self-review; A = advocacy; F = familiarity; I = intimidation</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006490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77369492">
              <wp:simplePos x="0" y="0"/>
              <wp:positionH relativeFrom="margin">
                <wp:align>center</wp:align>
              </wp:positionH>
              <wp:positionV relativeFrom="paragraph">
                <wp:posOffset>-361315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05pt;margin-top:-28.45pt;width:514.1pt;height:55.55pt" coordorigin="-461,-569" coordsize="10282,1111">
              <v:rect id="shape_0" fillcolor="white" stroked="f" style="position:absolute;left:-461;top:-569;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57;width:1653;height:817;mso-position-horizontal:center;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22e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78b3"/>
    <w:rPr/>
  </w:style>
  <w:style w:type="character" w:styleId="FooterChar" w:customStyle="1">
    <w:name w:val="Footer Char"/>
    <w:basedOn w:val="DefaultParagraphFont"/>
    <w:link w:val="Footer"/>
    <w:uiPriority w:val="99"/>
    <w:qFormat/>
    <w:rsid w:val="00ed78b3"/>
    <w:rPr/>
  </w:style>
  <w:style w:type="character" w:styleId="Heading1Char" w:customStyle="1">
    <w:name w:val="Heading 1 Char"/>
    <w:basedOn w:val="DefaultParagraphFont"/>
    <w:link w:val="Heading1"/>
    <w:uiPriority w:val="9"/>
    <w:qFormat/>
    <w:rsid w:val="001122ee"/>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d78b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78b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a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LibreOffice/6.1.5.2$Linux_X86_64 LibreOffice_project/10$Build-2</Application>
  <Pages>2</Pages>
  <Words>193</Words>
  <Characters>1089</Characters>
  <CharactersWithSpaces>1241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2022-06-23T12:28:00Z</dcterms:created>
  <dc:creator>Maham Moin</dc:creator>
  <dc:description/>
  <dc:language>en-US</dc:language>
  <cp:lastModifiedBy/>
  <dcterms:modified xsi:type="dcterms:W3CDTF">2022-09-21T15:47:34Z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