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Toc129270795"/>
      <w:bookmarkStart w:id="1" w:name="__DdeLink__693_818652941"/>
      <w:r>
        <w:rPr/>
        <w:t>Review Report on Statement of Net Capital Balance</w:t>
      </w:r>
      <w:bookmarkEnd w:id="0"/>
      <w:bookmarkEnd w:id="1"/>
      <w:r>
        <w:rPr/>
        <w:t xml:space="preserve"> </w:t>
      </w:r>
    </w:p>
    <w:p>
      <w:pPr>
        <w:pStyle w:val="Normal"/>
        <w:rPr/>
      </w:pPr>
      <w:r>
        <w:rPr/>
      </w:r>
    </w:p>
    <w:p>
      <w:pPr>
        <w:pStyle w:val="Default"/>
        <w:jc w:val="both"/>
        <w:rPr/>
      </w:pPr>
      <w:r>
        <w:rPr>
          <w:b/>
          <w:bCs/>
          <w:sz w:val="21"/>
          <w:szCs w:val="21"/>
        </w:rPr>
        <w:t xml:space="preserve">To the Chief Executive Officer of </w:t>
      </w:r>
      <w:r>
        <w:rPr>
          <w:rFonts w:cs="Trebuchet MS"/>
          <w:b/>
          <w:bCs/>
          <w:color w:val="000000"/>
          <w:sz w:val="21"/>
          <w:szCs w:val="21"/>
        </w:rPr>
        <w:t xml:space="preserve"> </w:t>
      </w:r>
      <w:bookmarkStart w:id="2" w:name="__DdeLink__18962_3283385913"/>
      <w:r>
        <w:rPr>
          <w:rFonts w:eastAsia="Calibri" w:cs="Trebuchet MS"/>
          <w:b/>
          <w:bCs/>
          <w:color w:val="000000"/>
          <w:sz w:val="21"/>
          <w:szCs w:val="21"/>
        </w:rPr>
        <w:t>$</w:t>
      </w:r>
      <w:bookmarkEnd w:id="2"/>
      <w:r>
        <w:rPr>
          <w:rFonts w:eastAsia="Calibri" w:cs="Trebuchet MS"/>
          <w:b/>
          <w:bCs/>
          <w:color w:val="000000"/>
          <w:sz w:val="21"/>
          <w:szCs w:val="21"/>
        </w:rPr>
        <w:t>{client}</w:t>
      </w:r>
    </w:p>
    <w:p>
      <w:pPr>
        <w:pStyle w:val="Default"/>
        <w:jc w:val="both"/>
        <w:rPr>
          <w:b/>
          <w:b/>
          <w:bCs/>
          <w:sz w:val="21"/>
          <w:szCs w:val="21"/>
        </w:rPr>
      </w:pPr>
      <w:r>
        <w:rPr>
          <w:b/>
          <w:bCs/>
          <w:sz w:val="21"/>
          <w:szCs w:val="21"/>
        </w:rPr>
      </w:r>
    </w:p>
    <w:p>
      <w:pPr>
        <w:pStyle w:val="Default"/>
        <w:jc w:val="both"/>
        <w:rPr/>
      </w:pPr>
      <w:r>
        <w:rPr>
          <w:b/>
          <w:bCs/>
          <w:sz w:val="21"/>
          <w:szCs w:val="21"/>
        </w:rPr>
        <w:t xml:space="preserve">Introduction </w:t>
      </w:r>
    </w:p>
    <w:p>
      <w:pPr>
        <w:pStyle w:val="Default"/>
        <w:jc w:val="both"/>
        <w:rPr/>
      </w:pPr>
      <w:r>
        <w:rPr>
          <w:sz w:val="21"/>
          <w:szCs w:val="21"/>
        </w:rPr>
        <w:t>We have reviewed the accompanying Statement of Net Capital Balance of</w:t>
      </w:r>
      <w:r>
        <w:rPr>
          <w:rFonts w:cs="Trebuchet MS"/>
          <w:color w:val="000000"/>
          <w:sz w:val="21"/>
          <w:szCs w:val="21"/>
        </w:rPr>
        <w:t xml:space="preserve"> </w:t>
      </w:r>
      <w:bookmarkStart w:id="3" w:name="__DdeLink__18962_32833859131"/>
      <w:r>
        <w:rPr>
          <w:rFonts w:eastAsia="Calibri" w:cs="Trebuchet MS"/>
          <w:b/>
          <w:bCs/>
          <w:color w:val="000000"/>
          <w:sz w:val="21"/>
          <w:szCs w:val="21"/>
        </w:rPr>
        <w:t>$</w:t>
      </w:r>
      <w:bookmarkEnd w:id="3"/>
      <w:r>
        <w:rPr>
          <w:rFonts w:eastAsia="Calibri" w:cs="Trebuchet MS"/>
          <w:b/>
          <w:bCs/>
          <w:color w:val="000000"/>
          <w:sz w:val="21"/>
          <w:szCs w:val="21"/>
        </w:rPr>
        <w:t>{client}</w:t>
      </w:r>
      <w:r>
        <w:rPr>
          <w:rFonts w:cs="Trebuchet MS"/>
          <w:color w:val="000000"/>
          <w:sz w:val="21"/>
          <w:szCs w:val="21"/>
        </w:rPr>
        <w:t xml:space="preserve"> as at </w:t>
      </w:r>
      <w:r>
        <w:rPr>
          <w:rFonts w:eastAsia="Calibri" w:cs="Trebuchet MS"/>
          <w:b/>
          <w:bCs/>
          <w:color w:val="000000"/>
          <w:sz w:val="21"/>
          <w:szCs w:val="21"/>
        </w:rPr>
        <w:t>${end}</w:t>
      </w:r>
      <w:r>
        <w:rPr>
          <w:rFonts w:cs="Trebuchet MS"/>
          <w:color w:val="000000"/>
          <w:sz w:val="21"/>
          <w:szCs w:val="21"/>
        </w:rPr>
        <w:t xml:space="preserve"> </w:t>
      </w:r>
      <w:r>
        <w:rPr>
          <w:sz w:val="21"/>
          <w:szCs w:val="21"/>
        </w:rPr>
        <w:t>and notes to the Statement of Net Capital Balance (here-in-after referred to as the ‘the statement’). Management is responsible for the prep</w:t>
      </w:r>
      <w:r>
        <w:rPr>
          <w:rFonts w:cs="Trebuchet MS"/>
          <w:color w:val="000000"/>
          <w:sz w:val="21"/>
          <w:szCs w:val="21"/>
        </w:rPr>
        <w:t>aration of the state</w:t>
      </w:r>
      <w:r>
        <w:rPr>
          <w:sz w:val="21"/>
          <w:szCs w:val="21"/>
        </w:rPr>
        <w:t xml:space="preserve">ment in accordance with the requirements of the Second Schedule of the Securities Brokers (Licensing and Operations) Regulations, 2016 (the Regulations) issued by the Securities &amp; Exchange Commission of Pakistan (SECP). Our responsibility is to express a conclusion on the statement based on our review. </w:t>
      </w:r>
    </w:p>
    <w:p>
      <w:pPr>
        <w:pStyle w:val="Default"/>
        <w:jc w:val="both"/>
        <w:rPr>
          <w:b/>
          <w:b/>
          <w:bCs/>
          <w:sz w:val="21"/>
          <w:szCs w:val="21"/>
        </w:rPr>
      </w:pPr>
      <w:r>
        <w:rPr>
          <w:b/>
          <w:bCs/>
          <w:sz w:val="21"/>
          <w:szCs w:val="21"/>
        </w:rPr>
      </w:r>
    </w:p>
    <w:p>
      <w:pPr>
        <w:pStyle w:val="Default"/>
        <w:jc w:val="both"/>
        <w:rPr/>
      </w:pPr>
      <w:r>
        <w:rPr>
          <w:b/>
          <w:bCs/>
          <w:sz w:val="21"/>
          <w:szCs w:val="21"/>
        </w:rPr>
        <w:t xml:space="preserve">Scope of Review </w:t>
      </w:r>
    </w:p>
    <w:p>
      <w:pPr>
        <w:pStyle w:val="Default"/>
        <w:jc w:val="both"/>
        <w:rPr/>
      </w:pPr>
      <w:r>
        <w:rPr>
          <w:sz w:val="21"/>
          <w:szCs w:val="21"/>
        </w:rPr>
        <w:t>We conducted our review in accordance with International Standard on Review Engagements 2410, ‘</w:t>
      </w:r>
      <w:r>
        <w:rPr>
          <w:i/>
          <w:iCs/>
          <w:sz w:val="21"/>
          <w:szCs w:val="21"/>
        </w:rPr>
        <w:t xml:space="preserve">Review of Interim Financial Information Performed by the Independent Auditor of the Entity’ </w:t>
      </w:r>
      <w:r>
        <w:rPr>
          <w:sz w:val="21"/>
          <w:szCs w:val="21"/>
        </w:rPr>
        <w:t xml:space="preserve">which applies to review of historical financial information performed by the independent auditor of the Securities Broker. A review of historical financial information consists of making inquiries, primarily of persons responsible for financial and accounting matters, and applying </w:t>
      </w:r>
      <w:r>
        <w:rPr>
          <w:rFonts w:cs="Trebuchet MS"/>
          <w:color w:val="000000"/>
          <w:sz w:val="21"/>
          <w:szCs w:val="21"/>
        </w:rPr>
        <w:t>analytical</w:t>
      </w:r>
      <w:r>
        <w:rPr>
          <w:sz w:val="21"/>
          <w:szCs w:val="21"/>
        </w:rPr>
        <w:t xml:space="preserve"> and other review procedures. A review is substantially less in scope than an audit conducted in accordance with the International Standards on Auditing and consequently does not enable us to obtain assurance that we would become aware of all significant matters that might be identified in an audit. Accordingly, we do not express an audit opinion. </w:t>
      </w:r>
    </w:p>
    <w:p>
      <w:pPr>
        <w:pStyle w:val="Default"/>
        <w:jc w:val="both"/>
        <w:rPr>
          <w:b/>
          <w:b/>
          <w:bCs/>
          <w:sz w:val="21"/>
          <w:szCs w:val="21"/>
        </w:rPr>
      </w:pPr>
      <w:r>
        <w:rPr>
          <w:b/>
          <w:bCs/>
          <w:sz w:val="21"/>
          <w:szCs w:val="21"/>
        </w:rPr>
      </w:r>
    </w:p>
    <w:p>
      <w:pPr>
        <w:pStyle w:val="Default"/>
        <w:jc w:val="both"/>
        <w:rPr/>
      </w:pPr>
      <w:r>
        <w:rPr>
          <w:b/>
          <w:bCs/>
          <w:sz w:val="21"/>
          <w:szCs w:val="21"/>
        </w:rPr>
        <w:t xml:space="preserve">Basis for Modified Conclusion/ Disclaimer of conclusion </w:t>
      </w:r>
    </w:p>
    <w:p>
      <w:pPr>
        <w:pStyle w:val="Default"/>
        <w:jc w:val="both"/>
        <w:rPr>
          <w:b/>
          <w:b/>
          <w:bCs/>
          <w:i/>
          <w:i/>
          <w:iCs/>
          <w:sz w:val="21"/>
          <w:szCs w:val="21"/>
        </w:rPr>
      </w:pPr>
      <w:r>
        <w:rPr>
          <w:b/>
          <w:bCs/>
          <w:i/>
          <w:iCs/>
          <w:sz w:val="21"/>
          <w:szCs w:val="21"/>
        </w:rPr>
      </w:r>
    </w:p>
    <w:p>
      <w:pPr>
        <w:pStyle w:val="Default"/>
        <w:jc w:val="both"/>
        <w:rPr/>
      </w:pPr>
      <w:r>
        <w:rPr>
          <w:b/>
          <w:bCs/>
          <w:i/>
          <w:iCs/>
          <w:sz w:val="21"/>
          <w:szCs w:val="21"/>
        </w:rPr>
        <w:t xml:space="preserve">(Applicable in case of modified conclusion/ disclaimer of conclusion in accordance with ISRE 2410) </w:t>
      </w:r>
    </w:p>
    <w:p>
      <w:pPr>
        <w:pStyle w:val="Default"/>
        <w:jc w:val="both"/>
        <w:rPr>
          <w:b/>
          <w:b/>
          <w:bCs/>
          <w:sz w:val="21"/>
          <w:szCs w:val="21"/>
        </w:rPr>
      </w:pPr>
      <w:r>
        <w:rPr>
          <w:b/>
          <w:bCs/>
          <w:sz w:val="21"/>
          <w:szCs w:val="21"/>
        </w:rPr>
      </w:r>
    </w:p>
    <w:p>
      <w:pPr>
        <w:pStyle w:val="Default"/>
        <w:jc w:val="both"/>
        <w:rPr/>
      </w:pPr>
      <w:r>
        <w:rPr>
          <w:b/>
          <w:bCs/>
          <w:sz w:val="21"/>
          <w:szCs w:val="21"/>
        </w:rPr>
        <w:t xml:space="preserve">Conclusion1 </w:t>
      </w:r>
    </w:p>
    <w:p>
      <w:pPr>
        <w:pStyle w:val="Default"/>
        <w:jc w:val="both"/>
        <w:rPr/>
      </w:pPr>
      <w:r>
        <w:rPr>
          <w:sz w:val="21"/>
          <w:szCs w:val="21"/>
        </w:rPr>
        <w:t xml:space="preserve">Based on our review, nothing has come to our attention that causes us to believe that the accompanying statement is not prepared, in all material respects, in accordance with the requirements of Second Schedule of the Regulations. </w:t>
      </w:r>
    </w:p>
    <w:p>
      <w:pPr>
        <w:pStyle w:val="Default"/>
        <w:jc w:val="both"/>
        <w:rPr>
          <w:b/>
          <w:b/>
          <w:bCs/>
          <w:sz w:val="21"/>
          <w:szCs w:val="21"/>
        </w:rPr>
      </w:pPr>
      <w:r>
        <w:rPr>
          <w:b/>
          <w:bCs/>
          <w:sz w:val="21"/>
          <w:szCs w:val="21"/>
        </w:rPr>
      </w:r>
    </w:p>
    <w:p>
      <w:pPr>
        <w:pStyle w:val="Default"/>
        <w:jc w:val="both"/>
        <w:rPr/>
      </w:pPr>
      <w:r>
        <w:rPr>
          <w:b/>
          <w:bCs/>
          <w:sz w:val="21"/>
          <w:szCs w:val="21"/>
        </w:rPr>
        <w:t xml:space="preserve">Other Matter – Restriction on Distribution and Use </w:t>
      </w:r>
    </w:p>
    <w:p>
      <w:pPr>
        <w:pStyle w:val="Default"/>
        <w:jc w:val="both"/>
        <w:rPr/>
      </w:pPr>
      <w:r>
        <w:rPr>
          <w:sz w:val="21"/>
          <w:szCs w:val="21"/>
        </w:rPr>
        <w:t xml:space="preserve">Our report is intended solely for </w:t>
      </w:r>
      <w:bookmarkStart w:id="4" w:name="__DdeLink__18962_32833859132"/>
      <w:r>
        <w:rPr>
          <w:rFonts w:cs="Trebuchet MS"/>
          <w:b/>
          <w:bCs/>
          <w:color w:val="000000"/>
          <w:sz w:val="21"/>
          <w:szCs w:val="21"/>
        </w:rPr>
        <w:t>$</w:t>
      </w:r>
      <w:bookmarkEnd w:id="4"/>
      <w:r>
        <w:rPr>
          <w:rFonts w:eastAsia="Calibri" w:cs="Trebuchet MS"/>
          <w:b/>
          <w:bCs/>
          <w:color w:val="000000"/>
          <w:sz w:val="21"/>
          <w:szCs w:val="21"/>
        </w:rPr>
        <w:t xml:space="preserve">{client} </w:t>
      </w:r>
      <w:r>
        <w:rPr>
          <w:rFonts w:cs="Trebuchet MS"/>
          <w:color w:val="000000"/>
          <w:sz w:val="21"/>
          <w:szCs w:val="21"/>
        </w:rPr>
        <w:t>, SEC</w:t>
      </w:r>
      <w:r>
        <w:rPr>
          <w:sz w:val="21"/>
          <w:szCs w:val="21"/>
        </w:rPr>
        <w:t xml:space="preserve">P, Pakistan Stock Exchange and National Clearing Company of Pakistan Limited and should not be distributed to any other parties. Our conclusion is not modified in respect of this matter. </w:t>
      </w:r>
    </w:p>
    <w:p>
      <w:pPr>
        <w:pStyle w:val="Default"/>
        <w:jc w:val="both"/>
        <w:rPr>
          <w:i/>
          <w:i/>
          <w:iCs/>
          <w:sz w:val="21"/>
          <w:szCs w:val="21"/>
        </w:rPr>
      </w:pPr>
      <w:r>
        <w:rPr>
          <w:i/>
          <w:iCs/>
          <w:sz w:val="21"/>
          <w:szCs w:val="21"/>
        </w:rPr>
      </w:r>
    </w:p>
    <w:p>
      <w:pPr>
        <w:pStyle w:val="Default"/>
        <w:jc w:val="both"/>
        <w:rPr>
          <w:i/>
          <w:i/>
          <w:iCs/>
          <w:sz w:val="21"/>
          <w:szCs w:val="21"/>
        </w:rPr>
      </w:pPr>
      <w:r>
        <w:rPr>
          <w:i/>
          <w:iCs/>
          <w:sz w:val="21"/>
          <w:szCs w:val="21"/>
        </w:rPr>
      </w:r>
    </w:p>
    <w:p>
      <w:pPr>
        <w:pStyle w:val="Default"/>
        <w:jc w:val="both"/>
        <w:rPr>
          <w:i/>
          <w:i/>
          <w:iCs/>
          <w:sz w:val="21"/>
          <w:szCs w:val="21"/>
        </w:rPr>
      </w:pPr>
      <w:r>
        <w:rPr>
          <w:i/>
          <w:iCs/>
          <w:sz w:val="21"/>
          <w:szCs w:val="21"/>
        </w:rPr>
      </w:r>
    </w:p>
    <w:p>
      <w:pPr>
        <w:pStyle w:val="Default"/>
        <w:jc w:val="both"/>
        <w:rPr>
          <w:i/>
          <w:i/>
          <w:iCs/>
          <w:sz w:val="21"/>
          <w:szCs w:val="21"/>
        </w:rPr>
      </w:pPr>
      <w:r>
        <w:rPr/>
      </w:r>
    </w:p>
    <w:p>
      <w:pPr>
        <w:pStyle w:val="Default"/>
        <w:jc w:val="both"/>
        <w:rPr>
          <w:i/>
          <w:i/>
          <w:iCs/>
          <w:sz w:val="21"/>
          <w:szCs w:val="21"/>
        </w:rPr>
      </w:pPr>
      <w:r>
        <w:rPr/>
      </w:r>
    </w:p>
    <w:p>
      <w:pPr>
        <w:pStyle w:val="Default"/>
        <w:jc w:val="both"/>
        <w:rPr/>
      </w:pPr>
      <w:r>
        <w:rPr>
          <w:i/>
          <w:iCs/>
          <w:sz w:val="21"/>
          <w:szCs w:val="21"/>
        </w:rPr>
        <w:t xml:space="preserve">${partner} </w:t>
      </w:r>
      <w:r>
        <w:rPr>
          <w:sz w:val="21"/>
          <w:szCs w:val="21"/>
        </w:rPr>
        <w:t xml:space="preserve"> </w:t>
      </w:r>
    </w:p>
    <w:p>
      <w:pPr>
        <w:pStyle w:val="Default"/>
        <w:jc w:val="both"/>
        <w:rPr/>
      </w:pPr>
      <w:r>
        <w:rPr>
          <w:sz w:val="21"/>
          <w:szCs w:val="21"/>
        </w:rPr>
        <w:t xml:space="preserve">karachi </w:t>
      </w:r>
    </w:p>
    <w:p>
      <w:pPr>
        <w:pStyle w:val="Default"/>
        <w:jc w:val="both"/>
        <w:rPr/>
      </w:pPr>
      <w:r>
        <w:rPr>
          <w:i/>
          <w:iCs/>
          <w:sz w:val="21"/>
          <w:szCs w:val="21"/>
        </w:rPr>
        <w:t>$</w:t>
      </w:r>
      <w:r>
        <w:rPr>
          <w:sz w:val="21"/>
          <w:szCs w:val="21"/>
        </w:rPr>
        <w:t>{</w:t>
      </w:r>
      <w:r>
        <w:rPr>
          <w:sz w:val="21"/>
          <w:szCs w:val="21"/>
        </w:rPr>
        <w:t>now</w:t>
      </w:r>
      <w:r>
        <w:rPr>
          <w:sz w:val="21"/>
          <w:szCs w:val="21"/>
        </w:rPr>
        <w: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Trebuchet MS" w:hAnsi="Trebuchet MS" w:eastAsia="WenQuanYi Micro Hei" w:cs="Trebuchet MS"/>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LibreOffice/6.1.5.2$Linux_X86_64 LibreOffice_project/10$Build-2</Application>
  <Pages>1</Pages>
  <Words>331</Words>
  <Characters>1888</Characters>
  <CharactersWithSpaces>2220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2023-03-13T13:23:12Z</dcterms:created>
  <dc:creator/>
  <dc:description/>
  <dc:language>en-US</dc:language>
  <cp:lastModifiedBy/>
  <dcterms:modified xsi:type="dcterms:W3CDTF">2023-03-13T14:12:10Z</dcterms:modified>
  <cp:revision>2</cp:revision>
  <dc:subject/>
  <dc:title/>
</cp:coreProperties>
</file>