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*Risk Assessment Analytical Procedures</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rPr>
          <w:rFonts w:ascii="Arial" w:hAnsi="Arial" w:cs="Arial"/>
          <w:b/>
          <w:b/>
          <w:sz w:val="20"/>
          <w:szCs w:val="20"/>
        </w:rPr>
      </w:pPr>
      <w:r>
        <w:rPr>
          <w:rFonts w:cs="Arial" w:ascii="Arial" w:hAnsi="Arial"/>
          <w:b/>
          <w:sz w:val="20"/>
          <w:szCs w:val="20"/>
        </w:rPr>
      </w:r>
      <w:bookmarkStart w:id="0" w:name="_GoBack"/>
      <w:bookmarkStart w:id="1" w:name="_GoBack"/>
      <w:bookmarkEnd w:id="1"/>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852"/>
        <w:gridCol w:w="1754"/>
        <w:gridCol w:w="1754"/>
      </w:tblGrid>
      <w:tr>
        <w:trPr/>
        <w:tc>
          <w:tcPr>
            <w:tcW w:w="5852" w:type="dxa"/>
            <w:tcBorders/>
            <w:shd w:color="auto" w:fill="8EAADB" w:themeFill="accent5" w:themeFillTint="99" w:val="clear"/>
          </w:tcPr>
          <w:p>
            <w:pPr>
              <w:pStyle w:val="Normal"/>
              <w:spacing w:lineRule="auto" w:line="240" w:before="240" w:after="0"/>
              <w:rPr>
                <w:rFonts w:ascii="Arial" w:hAnsi="Arial" w:cs="Arial"/>
                <w:sz w:val="20"/>
                <w:szCs w:val="20"/>
              </w:rPr>
            </w:pPr>
            <w:r>
              <w:rPr>
                <w:rFonts w:cs="Arial" w:ascii="Arial" w:hAnsi="Arial"/>
                <w:b/>
                <w:sz w:val="20"/>
                <w:szCs w:val="20"/>
              </w:rPr>
              <w:t>Procedures performed</w:t>
            </w:r>
          </w:p>
        </w:tc>
        <w:tc>
          <w:tcPr>
            <w:tcW w:w="1754"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Links</w:t>
            </w:r>
          </w:p>
        </w:tc>
        <w:tc>
          <w:tcPr>
            <w:tcW w:w="1754"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Ref. no.</w:t>
            </w:r>
          </w:p>
        </w:tc>
      </w:tr>
      <w:tr>
        <w:trPr>
          <w:trHeight w:val="3122" w:hRule="atLeast"/>
        </w:trPr>
        <w:tc>
          <w:tcPr>
            <w:tcW w:w="5852"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The engagement team performed risk assessment analytical procedures to identify and assess risks of material misstatement.</w:t>
            </w:r>
          </w:p>
          <w:p>
            <w:pPr>
              <w:pStyle w:val="ListParagraph"/>
              <w:numPr>
                <w:ilvl w:val="1"/>
                <w:numId w:val="2"/>
              </w:numPr>
              <w:spacing w:lineRule="auto" w:line="240" w:before="0" w:after="0"/>
              <w:contextualSpacing/>
              <w:rPr>
                <w:rFonts w:ascii="Arial" w:hAnsi="Arial" w:cs="Arial"/>
                <w:sz w:val="20"/>
                <w:szCs w:val="20"/>
              </w:rPr>
            </w:pPr>
            <w:r>
              <w:rPr>
                <w:rFonts w:cs="Arial" w:ascii="Arial" w:hAnsi="Arial"/>
                <w:sz w:val="20"/>
                <w:szCs w:val="20"/>
              </w:rPr>
              <w:t xml:space="preserve">The engagement team evaluated the reliability of data used to perform the risk assessment analytical procedures. </w:t>
              <w:tab/>
            </w:r>
          </w:p>
          <w:p>
            <w:pPr>
              <w:pStyle w:val="ListParagraph"/>
              <w:numPr>
                <w:ilvl w:val="1"/>
                <w:numId w:val="2"/>
              </w:numPr>
              <w:spacing w:lineRule="auto" w:line="240" w:before="0" w:after="0"/>
              <w:contextualSpacing/>
              <w:rPr>
                <w:rFonts w:ascii="Arial" w:hAnsi="Arial" w:cs="Arial"/>
                <w:sz w:val="20"/>
                <w:szCs w:val="20"/>
              </w:rPr>
            </w:pPr>
            <w:r>
              <w:rPr>
                <w:rFonts w:cs="Arial" w:ascii="Arial" w:hAnsi="Arial"/>
                <w:sz w:val="20"/>
                <w:szCs w:val="20"/>
              </w:rPr>
              <w:t xml:space="preserve">The engagement team performed the risk assessment analytical procedures at an aggregated or sufficiently disaggregated level to assist with the identification of unusual or unexpected relationships relevant to identifying and assessing risks of material misstatement. </w:t>
            </w:r>
          </w:p>
          <w:p>
            <w:pPr>
              <w:pStyle w:val="ListParagraph"/>
              <w:numPr>
                <w:ilvl w:val="1"/>
                <w:numId w:val="2"/>
              </w:numPr>
              <w:spacing w:lineRule="auto" w:line="240" w:before="0" w:after="0"/>
              <w:contextualSpacing/>
              <w:rPr>
                <w:rFonts w:ascii="Arial" w:hAnsi="Arial" w:cs="Arial"/>
                <w:sz w:val="20"/>
                <w:szCs w:val="20"/>
              </w:rPr>
            </w:pPr>
            <w:r>
              <w:rPr>
                <w:rFonts w:cs="Arial" w:ascii="Arial" w:hAnsi="Arial"/>
                <w:sz w:val="20"/>
                <w:szCs w:val="20"/>
              </w:rPr>
              <w:t>The engagement team determined whether and if so, what further investigation was required.</w:t>
            </w:r>
          </w:p>
        </w:tc>
        <w:tc>
          <w:tcPr>
            <w:tcW w:w="1754" w:type="dxa"/>
            <w:tcBorders/>
            <w:shd w:fill="auto" w:val="clear"/>
          </w:tcPr>
          <w:p>
            <w:pPr>
              <w:pStyle w:val="Normal"/>
              <w:spacing w:lineRule="auto" w:line="240" w:before="0" w:after="0"/>
              <w:rPr/>
            </w:pPr>
            <w:hyperlink r:id="rId2">
              <w:r>
                <w:rPr>
                  <w:rStyle w:val="InternetLink"/>
                  <w:rFonts w:cs="Arial" w:ascii="Arial" w:hAnsi="Arial"/>
                  <w:b/>
                  <w:sz w:val="20"/>
                  <w:szCs w:val="20"/>
                </w:rPr>
                <w:t>Risk Assessment Analytics.xlsx</w:t>
              </w:r>
            </w:hyperlink>
          </w:p>
          <w:p>
            <w:pPr>
              <w:pStyle w:val="Normal"/>
              <w:spacing w:lineRule="auto" w:line="240" w:before="0" w:after="0"/>
              <w:rPr>
                <w:rFonts w:ascii="Arial" w:hAnsi="Arial" w:cs="Arial"/>
                <w:sz w:val="20"/>
                <w:szCs w:val="20"/>
              </w:rPr>
            </w:pPr>
            <w:r>
              <w:rPr>
                <w:rFonts w:cs="Arial" w:ascii="Arial" w:hAnsi="Arial"/>
                <w:sz w:val="20"/>
                <w:szCs w:val="20"/>
              </w:rPr>
            </w:r>
          </w:p>
        </w:tc>
        <w:tc>
          <w:tcPr>
            <w:tcW w:w="1754"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rHeight w:val="2681" w:hRule="atLeast"/>
        </w:trPr>
        <w:tc>
          <w:tcPr>
            <w:tcW w:w="5852" w:type="dxa"/>
            <w:tcBorders/>
            <w:shd w:fill="auto" w:val="clear"/>
          </w:tcPr>
          <w:p>
            <w:pPr>
              <w:pStyle w:val="ListParagraph"/>
              <w:numPr>
                <w:ilvl w:val="0"/>
                <w:numId w:val="1"/>
              </w:numPr>
              <w:spacing w:lineRule="auto" w:line="240" w:before="0" w:after="0"/>
              <w:contextualSpacing/>
              <w:rPr>
                <w:rFonts w:ascii="Arial" w:hAnsi="Arial" w:cs="Arial"/>
                <w:sz w:val="20"/>
                <w:szCs w:val="20"/>
              </w:rPr>
            </w:pPr>
            <w:r>
              <w:rPr>
                <w:rFonts w:cs="Arial" w:ascii="Arial" w:hAnsi="Arial"/>
                <w:sz w:val="20"/>
                <w:szCs w:val="20"/>
              </w:rPr>
              <w:t>The engagement team documented:</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Their assessment of the reliability of the data used for the risk assessment analytical procedures;</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The quantitative or qualitative analysis of the recorded amounts, trends and ratios that were considered relevant, including the basis for identifying unusual or unexpected relationships.</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The unusual or unexpected relationships identified which were believed as being significant for risk assessment; and</w:t>
            </w:r>
          </w:p>
          <w:p>
            <w:pPr>
              <w:pStyle w:val="ListParagraph"/>
              <w:numPr>
                <w:ilvl w:val="0"/>
                <w:numId w:val="3"/>
              </w:numPr>
              <w:spacing w:lineRule="auto" w:line="240" w:before="0" w:after="0"/>
              <w:contextualSpacing/>
              <w:rPr>
                <w:rFonts w:ascii="Arial" w:hAnsi="Arial" w:cs="Arial"/>
                <w:sz w:val="20"/>
                <w:szCs w:val="20"/>
              </w:rPr>
            </w:pPr>
            <w:r>
              <w:rPr>
                <w:rFonts w:cs="Arial" w:ascii="Arial" w:hAnsi="Arial"/>
                <w:sz w:val="20"/>
                <w:szCs w:val="20"/>
              </w:rPr>
              <w:t xml:space="preserve">The impact on the audit plan, including what further investigation was required. </w:t>
            </w:r>
          </w:p>
        </w:tc>
        <w:tc>
          <w:tcPr>
            <w:tcW w:w="1754" w:type="dxa"/>
            <w:tcBorders/>
            <w:shd w:fill="auto" w:val="clear"/>
          </w:tcPr>
          <w:p>
            <w:pPr>
              <w:pStyle w:val="Normal"/>
              <w:spacing w:lineRule="auto" w:line="240" w:before="0" w:after="0"/>
              <w:rPr/>
            </w:pPr>
            <w:hyperlink r:id="rId3">
              <w:r>
                <w:rPr>
                  <w:rStyle w:val="InternetLink"/>
                  <w:rFonts w:cs="Arial" w:ascii="Arial" w:hAnsi="Arial"/>
                  <w:b/>
                  <w:sz w:val="20"/>
                  <w:szCs w:val="20"/>
                </w:rPr>
                <w:t>Risk Assessment Analytics.xlsx</w:t>
              </w:r>
            </w:hyperlink>
          </w:p>
          <w:p>
            <w:pPr>
              <w:pStyle w:val="Normal"/>
              <w:spacing w:lineRule="auto" w:line="240" w:before="0" w:after="0"/>
              <w:rPr>
                <w:rFonts w:ascii="Arial" w:hAnsi="Arial" w:cs="Arial"/>
                <w:sz w:val="20"/>
                <w:szCs w:val="20"/>
              </w:rPr>
            </w:pPr>
            <w:r>
              <w:rPr>
                <w:rFonts w:cs="Arial" w:ascii="Arial" w:hAnsi="Arial"/>
                <w:sz w:val="20"/>
                <w:szCs w:val="20"/>
              </w:rPr>
            </w:r>
          </w:p>
        </w:tc>
        <w:tc>
          <w:tcPr>
            <w:tcW w:w="1754"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bl>
    <w:p>
      <w:pPr>
        <w:pStyle w:val="Normal"/>
        <w:spacing w:lineRule="auto" w:line="240" w:before="0" w:after="160"/>
        <w:rPr/>
      </w:pPr>
      <w:r>
        <w:rP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2"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lowerLetter"/>
      <w:lvlText w:val="%2)"/>
      <w:lvlJc w:val="left"/>
      <w:pPr>
        <w:ind w:left="81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lowerLetter"/>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853afc"/>
    <w:rPr/>
  </w:style>
  <w:style w:type="character" w:styleId="FooterChar" w:customStyle="1">
    <w:name w:val="Footer Char"/>
    <w:basedOn w:val="DefaultParagraphFont"/>
    <w:link w:val="Footer"/>
    <w:uiPriority w:val="99"/>
    <w:qFormat/>
    <w:rsid w:val="00853afc"/>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Header">
    <w:name w:val="Header"/>
    <w:basedOn w:val="Normal"/>
    <w:link w:val="HeaderChar"/>
    <w:uiPriority w:val="99"/>
    <w:unhideWhenUsed/>
    <w:rsid w:val="00853af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53af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102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16%20Risk%20Assessment%20Analytical%20Procedures/Risk%20Assessment%20Analytics.xlsx" TargetMode="External"/><Relationship Id="rId3" Type="http://schemas.openxmlformats.org/officeDocument/2006/relationships/hyperlink" Target="../../../../../G:/My%20Drive/MZCO/Audit%20Manual/1.%20Planning/16%20Risk%20Assessment%20Analytical%20Procedures/Risk%20Assessment%20Analytics.xlsx"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Application>LibreOffice/6.1.5.2$Linux_X86_64 LibreOffice_project/10$Build-2</Application>
  <Pages>1</Pages>
  <Words>200</Words>
  <Characters>1232</Characters>
  <CharactersWithSpaces>1400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2022-09-12T15:28:58Z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