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076"/>
        <w:gridCol w:w="4942"/>
        <w:gridCol w:w="4942"/>
      </w:tblGrid>
      <w:tr>
        <w:trPr>
          <w:trHeight w:val="402" w:hRule="atLeast"/>
        </w:trPr>
        <w:tc>
          <w:tcPr>
            <w:tcW w:w="3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bookmarkStart w:id="0" w:name="_top"/>
            <w:bookmarkEnd w:id="0"/>
            <w:r>
              <w:rPr>
                <w:rFonts w:cs="Arial" w:ascii="Arial" w:hAnsi="Arial"/>
                <w:b/>
                <w:bCs/>
                <w:sz w:val="20"/>
                <w:szCs w:val="20"/>
              </w:rPr>
              <w:t>Client:</w:t>
            </w:r>
          </w:p>
        </w:tc>
        <w:tc>
          <w:tcPr>
            <w:tcW w:w="988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jc w:val="both"/>
              <w:rPr/>
            </w:pPr>
            <w:bookmarkStart w:id="1" w:name="__DdeLink__18962_3283385913"/>
            <w:r>
              <w:rPr>
                <w:rFonts w:eastAsia="Calibri" w:cs="Arial" w:ascii="Arial" w:hAnsi="Arial"/>
                <w:b/>
                <w:bCs/>
                <w:sz w:val="20"/>
                <w:szCs w:val="20"/>
              </w:rPr>
              <w:t>$</w:t>
            </w:r>
            <w:bookmarkEnd w:id="1"/>
            <w:r>
              <w:rPr>
                <w:rFonts w:eastAsia="Calibri" w:cs="Arial" w:ascii="Arial" w:hAnsi="Arial"/>
                <w:b/>
                <w:bCs/>
                <w:sz w:val="20"/>
                <w:szCs w:val="20"/>
              </w:rPr>
              <w:t>{client}</w:t>
            </w:r>
          </w:p>
        </w:tc>
      </w:tr>
      <w:tr>
        <w:trPr>
          <w:trHeight w:val="402" w:hRule="atLeast"/>
        </w:trPr>
        <w:tc>
          <w:tcPr>
            <w:tcW w:w="3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Period end date:</w:t>
            </w:r>
          </w:p>
        </w:tc>
        <w:tc>
          <w:tcPr>
            <w:tcW w:w="988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pPr>
            <w:r>
              <w:rPr>
                <w:rFonts w:eastAsia="Calibri" w:cs="Arial" w:ascii="Arial" w:hAnsi="Arial"/>
                <w:b/>
                <w:bCs/>
                <w:sz w:val="20"/>
                <w:szCs w:val="20"/>
              </w:rPr>
              <w:t>$</w:t>
            </w:r>
            <w:r>
              <w:rPr>
                <w:rFonts w:eastAsia="Calibri" w:cs="Arial" w:ascii="Arial" w:hAnsi="Arial"/>
                <w:b/>
                <w:bCs/>
                <w:sz w:val="20"/>
                <w:szCs w:val="20"/>
              </w:rPr>
              <w:t>{</w:t>
            </w:r>
            <w:r>
              <w:rPr>
                <w:rFonts w:eastAsia="Calibri" w:cs="Arial" w:ascii="Arial" w:hAnsi="Arial"/>
                <w:b/>
                <w:bCs/>
                <w:sz w:val="20"/>
                <w:szCs w:val="20"/>
              </w:rPr>
              <w:t>start</w:t>
            </w:r>
            <w:r>
              <w:rPr>
                <w:rFonts w:eastAsia="Calibri" w:cs="Arial" w:ascii="Arial" w:hAnsi="Arial"/>
                <w:b/>
                <w:bCs/>
                <w:sz w:val="20"/>
                <w:szCs w:val="20"/>
              </w:rPr>
              <w:t xml:space="preserve">} </w:t>
            </w:r>
            <w:r>
              <w:rPr>
                <w:rFonts w:eastAsia="Calibri" w:cs="Arial" w:ascii="Arial" w:hAnsi="Arial"/>
                <w:b/>
                <w:bCs/>
                <w:sz w:val="20"/>
                <w:szCs w:val="20"/>
              </w:rPr>
              <w:t>- $</w:t>
            </w:r>
            <w:r>
              <w:rPr>
                <w:rFonts w:eastAsia="Calibri" w:cs="Arial" w:ascii="Arial" w:hAnsi="Arial"/>
                <w:b/>
                <w:bCs/>
                <w:sz w:val="20"/>
                <w:szCs w:val="20"/>
              </w:rPr>
              <w:t>{</w:t>
            </w:r>
            <w:r>
              <w:rPr>
                <w:rFonts w:eastAsia="Calibri" w:cs="Arial" w:ascii="Arial" w:hAnsi="Arial"/>
                <w:b/>
                <w:bCs/>
                <w:sz w:val="20"/>
                <w:szCs w:val="20"/>
              </w:rPr>
              <w:t>end</w:t>
            </w:r>
            <w:r>
              <w:rPr>
                <w:rFonts w:eastAsia="Calibri" w:cs="Arial" w:ascii="Arial" w:hAnsi="Arial"/>
                <w:b/>
                <w:bCs/>
                <w:sz w:val="20"/>
                <w:szCs w:val="20"/>
              </w:rPr>
              <w:t>}</w:t>
            </w:r>
          </w:p>
        </w:tc>
      </w:tr>
      <w:tr>
        <w:trPr>
          <w:trHeight w:val="402" w:hRule="atLeast"/>
        </w:trPr>
        <w:tc>
          <w:tcPr>
            <w:tcW w:w="3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Ref. no.:</w:t>
            </w:r>
          </w:p>
        </w:tc>
        <w:tc>
          <w:tcPr>
            <w:tcW w:w="988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sz w:val="20"/>
                <w:szCs w:val="20"/>
              </w:rPr>
            </w:pPr>
            <w:r>
              <w:rPr>
                <w:rFonts w:cs="Arial" w:ascii="Arial" w:hAnsi="Arial"/>
                <w:sz w:val="20"/>
                <w:szCs w:val="20"/>
              </w:rPr>
            </w:r>
          </w:p>
        </w:tc>
      </w:tr>
      <w:tr>
        <w:trPr>
          <w:trHeight w:val="402" w:hRule="atLeast"/>
        </w:trPr>
        <w:tc>
          <w:tcPr>
            <w:tcW w:w="3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Prepared by:</w:t>
            </w:r>
          </w:p>
        </w:tc>
        <w:tc>
          <w:tcPr>
            <w:tcW w:w="4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pPr>
            <w:r>
              <w:rPr>
                <w:rFonts w:eastAsia="Calibri" w:cs="Arial" w:ascii="Arial" w:hAnsi="Arial"/>
                <w:sz w:val="20"/>
                <w:szCs w:val="20"/>
              </w:rPr>
              <w:t>$</w:t>
            </w:r>
            <w:r>
              <w:rPr>
                <w:rFonts w:eastAsia="Calibri" w:cs="Arial" w:ascii="Arial" w:hAnsi="Arial"/>
                <w:sz w:val="20"/>
                <w:szCs w:val="20"/>
              </w:rPr>
              <w:t>{</w:t>
            </w:r>
            <w:r>
              <w:rPr>
                <w:rFonts w:eastAsia="Calibri" w:cs="Arial" w:ascii="Arial" w:hAnsi="Arial"/>
                <w:sz w:val="20"/>
                <w:szCs w:val="20"/>
              </w:rPr>
              <w:t>user</w:t>
            </w:r>
            <w:r>
              <w:rPr>
                <w:rFonts w:eastAsia="Calibri" w:cs="Arial" w:ascii="Arial" w:hAnsi="Arial"/>
                <w:sz w:val="20"/>
                <w:szCs w:val="20"/>
              </w:rPr>
              <w:t>}</w:t>
            </w:r>
          </w:p>
        </w:tc>
        <w:tc>
          <w:tcPr>
            <w:tcW w:w="4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Date:</w:t>
            </w:r>
          </w:p>
        </w:tc>
      </w:tr>
      <w:tr>
        <w:trPr>
          <w:trHeight w:val="402" w:hRule="atLeast"/>
        </w:trPr>
        <w:tc>
          <w:tcPr>
            <w:tcW w:w="3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Approved by Manager:</w:t>
            </w:r>
          </w:p>
        </w:tc>
        <w:tc>
          <w:tcPr>
            <w:tcW w:w="4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sz w:val="20"/>
                <w:szCs w:val="20"/>
              </w:rPr>
            </w:pPr>
            <w:r>
              <w:rPr>
                <w:rFonts w:eastAsia="Calibri" w:cs="Arial" w:ascii="Arial" w:hAnsi="Arial"/>
                <w:sz w:val="20"/>
                <w:szCs w:val="20"/>
              </w:rPr>
              <w:t>${manager}</w:t>
            </w:r>
          </w:p>
        </w:tc>
        <w:tc>
          <w:tcPr>
            <w:tcW w:w="4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Date:</w:t>
            </w:r>
            <w:bookmarkStart w:id="2" w:name="_GoBack"/>
            <w:bookmarkEnd w:id="2"/>
          </w:p>
        </w:tc>
      </w:tr>
      <w:tr>
        <w:trPr>
          <w:trHeight w:val="402" w:hRule="atLeast"/>
        </w:trPr>
        <w:tc>
          <w:tcPr>
            <w:tcW w:w="3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Approved by Partner:</w:t>
            </w:r>
          </w:p>
        </w:tc>
        <w:tc>
          <w:tcPr>
            <w:tcW w:w="4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sz w:val="20"/>
                <w:szCs w:val="20"/>
              </w:rPr>
            </w:pPr>
            <w:r>
              <w:rPr>
                <w:rFonts w:eastAsia="Calibri" w:cs="Arial" w:ascii="Arial" w:hAnsi="Arial"/>
                <w:sz w:val="20"/>
                <w:szCs w:val="20"/>
              </w:rPr>
              <w:t>${partner}</w:t>
            </w:r>
          </w:p>
        </w:tc>
        <w:tc>
          <w:tcPr>
            <w:tcW w:w="4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Date:</w:t>
            </w:r>
          </w:p>
        </w:tc>
      </w:tr>
    </w:tbl>
    <w:p>
      <w:pPr>
        <w:pStyle w:val="Normal"/>
        <w:spacing w:lineRule="auto" w:line="240" w:before="240" w:after="160"/>
        <w:rPr>
          <w:rFonts w:ascii="Arial" w:hAnsi="Arial" w:cs="Arial"/>
          <w:sz w:val="20"/>
          <w:szCs w:val="20"/>
        </w:rPr>
      </w:pPr>
      <w:r>
        <w:rPr>
          <w:rFonts w:cs="Arial" w:ascii="Arial" w:hAnsi="Arial"/>
          <w:sz w:val="20"/>
          <w:szCs w:val="20"/>
        </w:rPr>
      </w:r>
    </w:p>
    <w:p>
      <w:pPr>
        <w:pStyle w:val="Heading1"/>
        <w:spacing w:lineRule="auto" w:line="240"/>
        <w:rPr>
          <w:rFonts w:ascii="Arial" w:hAnsi="Arial" w:eastAsia="Times New Roman" w:cs="Arial"/>
          <w:b/>
          <w:b/>
          <w:color w:val="auto"/>
          <w:sz w:val="24"/>
          <w:szCs w:val="24"/>
        </w:rPr>
      </w:pPr>
      <w:r>
        <w:rPr>
          <w:rFonts w:eastAsia="Times New Roman" w:cs="Arial" w:ascii="Arial" w:hAnsi="Arial"/>
          <w:b/>
          <w:color w:val="auto"/>
          <w:sz w:val="24"/>
          <w:szCs w:val="24"/>
        </w:rPr>
        <w:t>Guidance (click to expand):</w:t>
      </w:r>
    </w:p>
    <w:p>
      <w:pPr>
        <w:pStyle w:val="Normal"/>
        <w:spacing w:lineRule="auto" w:line="240"/>
        <w:rPr/>
      </w:pPr>
      <w:r>
        <w:rPr/>
      </w:r>
    </w:p>
    <w:p>
      <w:pPr>
        <w:pStyle w:val="Normal"/>
        <w:spacing w:lineRule="auto" w:line="240"/>
        <w:rPr>
          <w:u w:val="single"/>
        </w:rPr>
      </w:pPr>
      <w:r>
        <w:rPr>
          <w:u w:val="single"/>
        </w:rPr>
        <w:t>Purpose</w:t>
      </w:r>
    </w:p>
    <w:p>
      <w:pPr>
        <w:pStyle w:val="Normal"/>
        <w:spacing w:lineRule="auto" w:line="240" w:before="240" w:after="160"/>
        <w:jc w:val="both"/>
        <w:rPr>
          <w:rFonts w:ascii="Arial" w:hAnsi="Arial" w:cs="Arial"/>
          <w:sz w:val="20"/>
          <w:szCs w:val="20"/>
        </w:rPr>
      </w:pPr>
      <w:r>
        <w:rPr>
          <w:rFonts w:eastAsia="Times New Roman" w:cs="Arial" w:ascii="Arial" w:hAnsi="Arial"/>
          <w:sz w:val="20"/>
          <w:szCs w:val="20"/>
        </w:rPr>
        <w:t xml:space="preserve">This template is designed to serve as a documentation template for </w:t>
      </w:r>
      <w:bookmarkStart w:id="3" w:name="_Perform_the_following"/>
      <w:bookmarkEnd w:id="3"/>
      <w:r>
        <w:rPr>
          <w:rFonts w:cs="Arial" w:ascii="Arial" w:hAnsi="Arial"/>
          <w:sz w:val="20"/>
          <w:szCs w:val="20"/>
        </w:rPr>
        <w:t>identified and assessed risks of material misstatement at the financial statement level and at the assertion level, including significant risks, risks for which substantive procedures alone cannot provide sufficient appropriate audit evidence, and control risk where the engagement team planned to place reliance on controls and to test the operating effectiveness of controls and the rationale for the significant judgments made.</w:t>
      </w:r>
    </w:p>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t>Identification and Assessment of Risks</w:t>
      </w:r>
    </w:p>
    <w:p>
      <w:pPr>
        <w:pStyle w:val="Normal"/>
        <w:spacing w:lineRule="auto" w:line="240" w:before="240" w:after="160"/>
        <w:jc w:val="both"/>
        <w:rPr>
          <w:rFonts w:ascii="Arial" w:hAnsi="Arial" w:eastAsia="Times New Roman" w:cs="Arial"/>
          <w:sz w:val="20"/>
          <w:szCs w:val="20"/>
        </w:rPr>
      </w:pPr>
      <w:r>
        <w:rPr>
          <w:rFonts w:eastAsia="Times New Roman" w:cs="Arial" w:ascii="Arial" w:hAnsi="Arial"/>
          <w:sz w:val="20"/>
          <w:szCs w:val="20"/>
        </w:rPr>
        <w:t xml:space="preserve">Risks of material misstatement are identified and assessed at the financial statement level and assertion level for classes of transactions, account balances and disclosures in order to determine the nature, timing and extent of further audit procedures necessary to obtain sufficient appropriate audit evidence. This evidence enables the auditor to express an opinion on the financial statements at an acceptably low level of audit risk. Information gathered by performing risk assessment procedures (as addressed in the previous EGAs involving understanding the entity and its environment and the applicable financial reporting framework as well as understanding and evaluating internal control) is used as audit evidence to provide the basis for the identification and assessment of the risks of material misstatement. </w:t>
      </w:r>
    </w:p>
    <w:p>
      <w:pPr>
        <w:pStyle w:val="Normal"/>
        <w:spacing w:lineRule="auto" w:line="240" w:before="240" w:after="160"/>
        <w:jc w:val="both"/>
        <w:rPr>
          <w:rFonts w:ascii="Arial" w:hAnsi="Arial" w:eastAsia="Times New Roman" w:cs="Arial"/>
          <w:sz w:val="20"/>
          <w:szCs w:val="20"/>
          <w:u w:val="single"/>
        </w:rPr>
      </w:pPr>
      <w:r>
        <w:rPr>
          <w:rFonts w:eastAsia="Times New Roman" w:cs="Arial" w:ascii="Arial" w:hAnsi="Arial"/>
          <w:sz w:val="20"/>
          <w:szCs w:val="20"/>
          <w:u w:val="single"/>
        </w:rPr>
        <w:t>Assertions</w:t>
      </w:r>
    </w:p>
    <w:p>
      <w:pPr>
        <w:pStyle w:val="Normal"/>
        <w:spacing w:lineRule="auto" w:line="240" w:before="240" w:after="160"/>
        <w:jc w:val="both"/>
        <w:rPr>
          <w:rFonts w:ascii="Arial" w:hAnsi="Arial" w:cs="Arial"/>
          <w:sz w:val="20"/>
          <w:szCs w:val="20"/>
        </w:rPr>
      </w:pPr>
      <w:r>
        <w:rPr>
          <w:rFonts w:cs="Arial" w:ascii="Arial" w:hAnsi="Arial"/>
          <w:sz w:val="20"/>
          <w:szCs w:val="20"/>
        </w:rPr>
        <w:t>Identifying the risks of material misstatement also provides the basis for the auditor’s determination of relevant assertions, which assists the auditor’s determination of the significant classes of transactions, account balances and disclosures. The auditor uses assertions to consider the different types of potential misstatements that may occur. Assertions for which the auditor has identified related risks of material misstatement are relevant assertions and may include the following:</w:t>
      </w:r>
    </w:p>
    <w:tbl>
      <w:tblPr>
        <w:tblStyle w:val="TableGrid"/>
        <w:tblW w:w="4950" w:type="pct"/>
        <w:jc w:val="left"/>
        <w:tblInd w:w="0" w:type="dxa"/>
        <w:tblCellMar>
          <w:top w:w="0" w:type="dxa"/>
          <w:left w:w="108" w:type="dxa"/>
          <w:bottom w:w="0" w:type="dxa"/>
          <w:right w:w="108" w:type="dxa"/>
        </w:tblCellMar>
        <w:tblLook w:noVBand="1" w:val="04a0" w:noHBand="0" w:lastColumn="0" w:firstColumn="1" w:lastRow="0" w:firstRow="1"/>
      </w:tblPr>
      <w:tblGrid>
        <w:gridCol w:w="2232"/>
        <w:gridCol w:w="1101"/>
        <w:gridCol w:w="3166"/>
        <w:gridCol w:w="3167"/>
        <w:gridCol w:w="3164"/>
      </w:tblGrid>
      <w:tr>
        <w:trPr>
          <w:trHeight w:val="432" w:hRule="atLeast"/>
        </w:trPr>
        <w:tc>
          <w:tcPr>
            <w:tcW w:w="2232" w:type="dxa"/>
            <w:tcBorders/>
            <w:shd w:color="auto" w:fill="8EAADB" w:themeFill="accent5" w:themeFillTint="99" w:val="clear"/>
            <w:vAlign w:val="center"/>
          </w:tcPr>
          <w:p>
            <w:pPr>
              <w:pStyle w:val="Normal"/>
              <w:spacing w:lineRule="auto" w:line="240" w:before="240" w:after="0"/>
              <w:jc w:val="center"/>
              <w:rPr>
                <w:rFonts w:ascii="Arial" w:hAnsi="Arial" w:cs="Arial"/>
                <w:b/>
                <w:b/>
                <w:sz w:val="20"/>
                <w:szCs w:val="20"/>
              </w:rPr>
            </w:pPr>
            <w:r>
              <w:rPr>
                <w:rFonts w:cs="Arial" w:ascii="Arial" w:hAnsi="Arial"/>
                <w:b/>
                <w:sz w:val="20"/>
                <w:szCs w:val="20"/>
              </w:rPr>
              <w:t>Assertion</w:t>
            </w:r>
          </w:p>
        </w:tc>
        <w:tc>
          <w:tcPr>
            <w:tcW w:w="1101" w:type="dxa"/>
            <w:tcBorders/>
            <w:shd w:color="auto" w:fill="8EAADB" w:themeFill="accent5" w:themeFillTint="99" w:val="clear"/>
            <w:vAlign w:val="center"/>
          </w:tcPr>
          <w:p>
            <w:pPr>
              <w:pStyle w:val="Normal"/>
              <w:spacing w:lineRule="auto" w:line="240" w:before="240" w:after="0"/>
              <w:jc w:val="center"/>
              <w:rPr>
                <w:rFonts w:ascii="Arial" w:hAnsi="Arial" w:cs="Arial"/>
                <w:b/>
                <w:b/>
                <w:sz w:val="20"/>
                <w:szCs w:val="20"/>
              </w:rPr>
            </w:pPr>
            <w:r>
              <w:rPr>
                <w:rFonts w:cs="Arial" w:ascii="Arial" w:hAnsi="Arial"/>
                <w:b/>
                <w:sz w:val="20"/>
                <w:szCs w:val="20"/>
              </w:rPr>
              <w:t>Alphabet</w:t>
            </w:r>
          </w:p>
        </w:tc>
        <w:tc>
          <w:tcPr>
            <w:tcW w:w="3166" w:type="dxa"/>
            <w:tcBorders/>
            <w:shd w:color="auto" w:fill="8EAADB" w:themeFill="accent5" w:themeFillTint="99" w:val="clear"/>
            <w:vAlign w:val="center"/>
          </w:tcPr>
          <w:p>
            <w:pPr>
              <w:pStyle w:val="Normal"/>
              <w:spacing w:lineRule="auto" w:line="240" w:before="240" w:after="0"/>
              <w:jc w:val="center"/>
              <w:rPr>
                <w:rFonts w:ascii="Arial" w:hAnsi="Arial" w:cs="Arial"/>
                <w:b/>
                <w:b/>
                <w:sz w:val="20"/>
                <w:szCs w:val="20"/>
              </w:rPr>
            </w:pPr>
            <w:r>
              <w:rPr>
                <w:rFonts w:cs="Arial" w:ascii="Arial" w:hAnsi="Arial"/>
                <w:b/>
                <w:sz w:val="20"/>
                <w:szCs w:val="20"/>
              </w:rPr>
              <w:t>Class of transaction and event</w:t>
            </w:r>
          </w:p>
        </w:tc>
        <w:tc>
          <w:tcPr>
            <w:tcW w:w="3167" w:type="dxa"/>
            <w:tcBorders/>
            <w:shd w:color="auto" w:fill="8EAADB" w:themeFill="accent5" w:themeFillTint="99" w:val="clear"/>
            <w:vAlign w:val="center"/>
          </w:tcPr>
          <w:p>
            <w:pPr>
              <w:pStyle w:val="Normal"/>
              <w:spacing w:lineRule="auto" w:line="240" w:before="240" w:after="0"/>
              <w:jc w:val="center"/>
              <w:rPr>
                <w:rFonts w:ascii="Arial" w:hAnsi="Arial" w:cs="Arial"/>
                <w:b/>
                <w:b/>
                <w:sz w:val="20"/>
                <w:szCs w:val="20"/>
              </w:rPr>
            </w:pPr>
            <w:r>
              <w:rPr>
                <w:rFonts w:cs="Arial" w:ascii="Arial" w:hAnsi="Arial"/>
                <w:b/>
                <w:sz w:val="20"/>
                <w:szCs w:val="20"/>
              </w:rPr>
              <w:t>Account balance at period end</w:t>
            </w:r>
          </w:p>
        </w:tc>
        <w:tc>
          <w:tcPr>
            <w:tcW w:w="3164" w:type="dxa"/>
            <w:tcBorders/>
            <w:shd w:color="auto" w:fill="8EAADB" w:themeFill="accent5" w:themeFillTint="99" w:val="clear"/>
            <w:vAlign w:val="center"/>
          </w:tcPr>
          <w:p>
            <w:pPr>
              <w:pStyle w:val="Normal"/>
              <w:spacing w:lineRule="auto" w:line="240" w:before="240" w:after="0"/>
              <w:jc w:val="center"/>
              <w:rPr>
                <w:rFonts w:ascii="Arial" w:hAnsi="Arial" w:cs="Arial"/>
                <w:b/>
                <w:b/>
                <w:sz w:val="20"/>
                <w:szCs w:val="20"/>
              </w:rPr>
            </w:pPr>
            <w:r>
              <w:rPr>
                <w:rFonts w:cs="Arial" w:ascii="Arial" w:hAnsi="Arial"/>
                <w:b/>
                <w:sz w:val="20"/>
                <w:szCs w:val="20"/>
              </w:rPr>
              <w:t>Presentation and disclosure</w:t>
            </w:r>
          </w:p>
        </w:tc>
      </w:tr>
      <w:tr>
        <w:trPr/>
        <w:tc>
          <w:tcPr>
            <w:tcW w:w="2232" w:type="dxa"/>
            <w:tcBorders/>
            <w:shd w:fill="auto"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Occurrence</w:t>
            </w:r>
          </w:p>
        </w:tc>
        <w:tc>
          <w:tcPr>
            <w:tcW w:w="1101" w:type="dxa"/>
            <w:tcBorders/>
            <w:shd w:fill="auto"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O</w:t>
            </w:r>
          </w:p>
        </w:tc>
        <w:tc>
          <w:tcPr>
            <w:tcW w:w="3166" w:type="dxa"/>
            <w:tcBorders/>
            <w:shd w:fill="auto" w:val="clear"/>
            <w:vAlign w:val="center"/>
          </w:tcPr>
          <w:p>
            <w:pPr>
              <w:pStyle w:val="Normal"/>
              <w:spacing w:lineRule="auto" w:line="240" w:before="0" w:after="0"/>
              <w:jc w:val="center"/>
              <w:rPr>
                <w:rFonts w:ascii="Wingdings 2" w:hAnsi="Wingdings 2" w:cs="Arial"/>
                <w:b/>
                <w:b/>
                <w:sz w:val="20"/>
                <w:szCs w:val="20"/>
              </w:rPr>
            </w:pPr>
            <w:r>
              <w:rPr>
                <w:rFonts w:cs="Arial" w:ascii="Wingdings 2" w:hAnsi="Wingdings 2"/>
                <w:b/>
                <w:sz w:val="20"/>
                <w:szCs w:val="20"/>
              </w:rPr>
              <w:t></w:t>
            </w:r>
          </w:p>
        </w:tc>
        <w:tc>
          <w:tcPr>
            <w:tcW w:w="3167" w:type="dxa"/>
            <w:tcBorders/>
            <w:shd w:fill="auto" w:val="clear"/>
            <w:vAlign w:val="center"/>
          </w:tcPr>
          <w:p>
            <w:pPr>
              <w:pStyle w:val="ListParagraph"/>
              <w:spacing w:lineRule="auto" w:line="240" w:before="0" w:after="0"/>
              <w:ind w:left="360" w:hanging="0"/>
              <w:contextualSpacing/>
              <w:jc w:val="center"/>
              <w:rPr>
                <w:rFonts w:ascii="Arial" w:hAnsi="Arial" w:cs="Arial"/>
                <w:b/>
                <w:b/>
                <w:sz w:val="20"/>
                <w:szCs w:val="20"/>
              </w:rPr>
            </w:pPr>
            <w:r>
              <w:rPr>
                <w:rFonts w:cs="Arial" w:ascii="Arial" w:hAnsi="Arial"/>
                <w:b/>
                <w:sz w:val="20"/>
                <w:szCs w:val="20"/>
              </w:rPr>
            </w:r>
          </w:p>
        </w:tc>
        <w:tc>
          <w:tcPr>
            <w:tcW w:w="3164" w:type="dxa"/>
            <w:tcBorders/>
            <w:shd w:fill="auto" w:val="clear"/>
            <w:vAlign w:val="center"/>
          </w:tcPr>
          <w:p>
            <w:pPr>
              <w:pStyle w:val="Normal"/>
              <w:spacing w:lineRule="auto" w:line="240" w:before="0" w:after="0"/>
              <w:jc w:val="center"/>
              <w:rPr>
                <w:rFonts w:ascii="Arial" w:hAnsi="Arial" w:cs="Arial"/>
                <w:b/>
                <w:b/>
                <w:sz w:val="20"/>
                <w:szCs w:val="20"/>
              </w:rPr>
            </w:pPr>
            <w:r>
              <w:rPr>
                <w:rFonts w:cs="Arial" w:ascii="Wingdings 2" w:hAnsi="Wingdings 2"/>
                <w:b/>
                <w:sz w:val="20"/>
                <w:szCs w:val="20"/>
              </w:rPr>
              <w:t></w:t>
            </w:r>
          </w:p>
        </w:tc>
      </w:tr>
      <w:tr>
        <w:trPr/>
        <w:tc>
          <w:tcPr>
            <w:tcW w:w="2232" w:type="dxa"/>
            <w:tcBorders/>
            <w:shd w:fill="auto"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Completeness</w:t>
            </w:r>
          </w:p>
        </w:tc>
        <w:tc>
          <w:tcPr>
            <w:tcW w:w="1101" w:type="dxa"/>
            <w:tcBorders/>
            <w:shd w:fill="auto"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C</w:t>
            </w:r>
          </w:p>
        </w:tc>
        <w:tc>
          <w:tcPr>
            <w:tcW w:w="3166" w:type="dxa"/>
            <w:tcBorders/>
            <w:shd w:fill="auto" w:val="clear"/>
            <w:vAlign w:val="center"/>
          </w:tcPr>
          <w:p>
            <w:pPr>
              <w:pStyle w:val="Normal"/>
              <w:spacing w:lineRule="auto" w:line="240" w:before="0" w:after="0"/>
              <w:jc w:val="center"/>
              <w:rPr>
                <w:rFonts w:ascii="Arial" w:hAnsi="Arial" w:cs="Arial"/>
                <w:b/>
                <w:b/>
                <w:sz w:val="20"/>
                <w:szCs w:val="20"/>
              </w:rPr>
            </w:pPr>
            <w:r>
              <w:rPr>
                <w:rFonts w:cs="Arial" w:ascii="Wingdings 2" w:hAnsi="Wingdings 2"/>
                <w:b/>
                <w:sz w:val="20"/>
                <w:szCs w:val="20"/>
              </w:rPr>
              <w:t></w:t>
            </w:r>
          </w:p>
        </w:tc>
        <w:tc>
          <w:tcPr>
            <w:tcW w:w="3167" w:type="dxa"/>
            <w:tcBorders/>
            <w:shd w:fill="auto" w:val="clear"/>
            <w:vAlign w:val="center"/>
          </w:tcPr>
          <w:p>
            <w:pPr>
              <w:pStyle w:val="Normal"/>
              <w:spacing w:lineRule="auto" w:line="240" w:before="0" w:after="0"/>
              <w:jc w:val="center"/>
              <w:rPr>
                <w:rFonts w:ascii="Arial" w:hAnsi="Arial" w:cs="Arial"/>
                <w:b/>
                <w:b/>
                <w:sz w:val="20"/>
                <w:szCs w:val="20"/>
              </w:rPr>
            </w:pPr>
            <w:r>
              <w:rPr>
                <w:rFonts w:cs="Arial" w:ascii="Wingdings 2" w:hAnsi="Wingdings 2"/>
                <w:b/>
                <w:sz w:val="20"/>
                <w:szCs w:val="20"/>
              </w:rPr>
              <w:t></w:t>
            </w:r>
          </w:p>
        </w:tc>
        <w:tc>
          <w:tcPr>
            <w:tcW w:w="3164" w:type="dxa"/>
            <w:tcBorders/>
            <w:shd w:fill="auto" w:val="clear"/>
            <w:vAlign w:val="center"/>
          </w:tcPr>
          <w:p>
            <w:pPr>
              <w:pStyle w:val="Normal"/>
              <w:spacing w:lineRule="auto" w:line="240" w:before="0" w:after="0"/>
              <w:jc w:val="center"/>
              <w:rPr>
                <w:rFonts w:ascii="Arial" w:hAnsi="Arial" w:cs="Arial"/>
                <w:b/>
                <w:b/>
                <w:sz w:val="20"/>
                <w:szCs w:val="20"/>
              </w:rPr>
            </w:pPr>
            <w:r>
              <w:rPr>
                <w:rFonts w:cs="Arial" w:ascii="Wingdings 2" w:hAnsi="Wingdings 2"/>
                <w:b/>
                <w:sz w:val="20"/>
                <w:szCs w:val="20"/>
              </w:rPr>
              <w:t></w:t>
            </w:r>
          </w:p>
        </w:tc>
      </w:tr>
      <w:tr>
        <w:trPr/>
        <w:tc>
          <w:tcPr>
            <w:tcW w:w="2232" w:type="dxa"/>
            <w:tcBorders/>
            <w:shd w:fill="auto"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Accuracy</w:t>
            </w:r>
          </w:p>
        </w:tc>
        <w:tc>
          <w:tcPr>
            <w:tcW w:w="1101" w:type="dxa"/>
            <w:tcBorders/>
            <w:shd w:fill="auto"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A</w:t>
            </w:r>
          </w:p>
        </w:tc>
        <w:tc>
          <w:tcPr>
            <w:tcW w:w="3166" w:type="dxa"/>
            <w:tcBorders/>
            <w:shd w:fill="auto" w:val="clear"/>
            <w:vAlign w:val="center"/>
          </w:tcPr>
          <w:p>
            <w:pPr>
              <w:pStyle w:val="Normal"/>
              <w:spacing w:lineRule="auto" w:line="240" w:before="0" w:after="0"/>
              <w:jc w:val="center"/>
              <w:rPr>
                <w:rFonts w:ascii="Arial" w:hAnsi="Arial" w:cs="Arial"/>
                <w:b/>
                <w:b/>
                <w:sz w:val="20"/>
                <w:szCs w:val="20"/>
              </w:rPr>
            </w:pPr>
            <w:r>
              <w:rPr>
                <w:rFonts w:cs="Arial" w:ascii="Wingdings 2" w:hAnsi="Wingdings 2"/>
                <w:b/>
                <w:sz w:val="20"/>
                <w:szCs w:val="20"/>
              </w:rPr>
              <w:t></w:t>
            </w:r>
          </w:p>
        </w:tc>
        <w:tc>
          <w:tcPr>
            <w:tcW w:w="3167" w:type="dxa"/>
            <w:tcBorders/>
            <w:shd w:fill="auto" w:val="clear"/>
            <w:vAlign w:val="center"/>
          </w:tcPr>
          <w:p>
            <w:pPr>
              <w:pStyle w:val="ListParagraph"/>
              <w:spacing w:lineRule="auto" w:line="240" w:before="0" w:after="0"/>
              <w:ind w:left="360" w:hanging="0"/>
              <w:contextualSpacing/>
              <w:jc w:val="center"/>
              <w:rPr>
                <w:rFonts w:ascii="Arial" w:hAnsi="Arial" w:cs="Arial"/>
                <w:b/>
                <w:b/>
                <w:sz w:val="20"/>
                <w:szCs w:val="20"/>
              </w:rPr>
            </w:pPr>
            <w:r>
              <w:rPr>
                <w:rFonts w:cs="Arial" w:ascii="Arial" w:hAnsi="Arial"/>
                <w:b/>
                <w:sz w:val="20"/>
                <w:szCs w:val="20"/>
              </w:rPr>
            </w:r>
          </w:p>
        </w:tc>
        <w:tc>
          <w:tcPr>
            <w:tcW w:w="3164" w:type="dxa"/>
            <w:tcBorders/>
            <w:shd w:fill="auto" w:val="clear"/>
            <w:vAlign w:val="center"/>
          </w:tcPr>
          <w:p>
            <w:pPr>
              <w:pStyle w:val="Normal"/>
              <w:spacing w:lineRule="auto" w:line="240" w:before="0" w:after="0"/>
              <w:jc w:val="center"/>
              <w:rPr>
                <w:rFonts w:ascii="Arial" w:hAnsi="Arial" w:cs="Arial"/>
                <w:b/>
                <w:b/>
                <w:sz w:val="20"/>
                <w:szCs w:val="20"/>
              </w:rPr>
            </w:pPr>
            <w:r>
              <w:rPr>
                <w:rFonts w:cs="Arial" w:ascii="Wingdings 2" w:hAnsi="Wingdings 2"/>
                <w:b/>
                <w:sz w:val="20"/>
                <w:szCs w:val="20"/>
              </w:rPr>
              <w:t></w:t>
            </w:r>
          </w:p>
        </w:tc>
      </w:tr>
      <w:tr>
        <w:trPr/>
        <w:tc>
          <w:tcPr>
            <w:tcW w:w="2232" w:type="dxa"/>
            <w:tcBorders/>
            <w:shd w:fill="auto"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Cutoff</w:t>
            </w:r>
          </w:p>
        </w:tc>
        <w:tc>
          <w:tcPr>
            <w:tcW w:w="1101" w:type="dxa"/>
            <w:tcBorders/>
            <w:shd w:fill="auto"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T</w:t>
            </w:r>
          </w:p>
        </w:tc>
        <w:tc>
          <w:tcPr>
            <w:tcW w:w="3166" w:type="dxa"/>
            <w:tcBorders/>
            <w:shd w:fill="auto" w:val="clear"/>
            <w:vAlign w:val="center"/>
          </w:tcPr>
          <w:p>
            <w:pPr>
              <w:pStyle w:val="Normal"/>
              <w:spacing w:lineRule="auto" w:line="240" w:before="0" w:after="0"/>
              <w:jc w:val="center"/>
              <w:rPr>
                <w:rFonts w:ascii="Arial" w:hAnsi="Arial" w:cs="Arial"/>
                <w:b/>
                <w:b/>
                <w:sz w:val="20"/>
                <w:szCs w:val="20"/>
              </w:rPr>
            </w:pPr>
            <w:r>
              <w:rPr>
                <w:rFonts w:cs="Arial" w:ascii="Wingdings 2" w:hAnsi="Wingdings 2"/>
                <w:b/>
                <w:sz w:val="20"/>
                <w:szCs w:val="20"/>
              </w:rPr>
              <w:t></w:t>
            </w:r>
          </w:p>
        </w:tc>
        <w:tc>
          <w:tcPr>
            <w:tcW w:w="3167" w:type="dxa"/>
            <w:tcBorders/>
            <w:shd w:fill="auto" w:val="clear"/>
            <w:vAlign w:val="center"/>
          </w:tcPr>
          <w:p>
            <w:pPr>
              <w:pStyle w:val="ListParagraph"/>
              <w:spacing w:lineRule="auto" w:line="240" w:before="0" w:after="0"/>
              <w:ind w:left="360" w:hanging="0"/>
              <w:contextualSpacing/>
              <w:jc w:val="center"/>
              <w:rPr>
                <w:rFonts w:ascii="Arial" w:hAnsi="Arial" w:cs="Arial"/>
                <w:b/>
                <w:b/>
                <w:sz w:val="20"/>
                <w:szCs w:val="20"/>
              </w:rPr>
            </w:pPr>
            <w:r>
              <w:rPr>
                <w:rFonts w:cs="Arial" w:ascii="Arial" w:hAnsi="Arial"/>
                <w:b/>
                <w:sz w:val="20"/>
                <w:szCs w:val="20"/>
              </w:rPr>
            </w:r>
          </w:p>
        </w:tc>
        <w:tc>
          <w:tcPr>
            <w:tcW w:w="3164" w:type="dxa"/>
            <w:tcBorders/>
            <w:shd w:fill="auto" w:val="clear"/>
            <w:vAlign w:val="center"/>
          </w:tcPr>
          <w:p>
            <w:pPr>
              <w:pStyle w:val="Normal"/>
              <w:spacing w:lineRule="auto" w:line="240" w:before="0" w:after="0"/>
              <w:jc w:val="center"/>
              <w:rPr>
                <w:rFonts w:ascii="Arial" w:hAnsi="Arial" w:cs="Arial"/>
                <w:b/>
                <w:b/>
                <w:sz w:val="20"/>
                <w:szCs w:val="20"/>
              </w:rPr>
            </w:pPr>
            <w:r>
              <w:rPr>
                <w:rFonts w:cs="Arial" w:ascii="Arial" w:hAnsi="Arial"/>
                <w:b/>
                <w:sz w:val="20"/>
                <w:szCs w:val="20"/>
              </w:rPr>
            </w:r>
          </w:p>
        </w:tc>
      </w:tr>
      <w:tr>
        <w:trPr/>
        <w:tc>
          <w:tcPr>
            <w:tcW w:w="2232" w:type="dxa"/>
            <w:tcBorders/>
            <w:shd w:fill="auto"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Classification</w:t>
            </w:r>
          </w:p>
        </w:tc>
        <w:tc>
          <w:tcPr>
            <w:tcW w:w="1101" w:type="dxa"/>
            <w:tcBorders/>
            <w:shd w:fill="auto"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L</w:t>
            </w:r>
          </w:p>
        </w:tc>
        <w:tc>
          <w:tcPr>
            <w:tcW w:w="3166" w:type="dxa"/>
            <w:tcBorders/>
            <w:shd w:fill="auto" w:val="clear"/>
            <w:vAlign w:val="center"/>
          </w:tcPr>
          <w:p>
            <w:pPr>
              <w:pStyle w:val="Normal"/>
              <w:spacing w:lineRule="auto" w:line="240" w:before="0" w:after="0"/>
              <w:jc w:val="center"/>
              <w:rPr>
                <w:rFonts w:ascii="Arial" w:hAnsi="Arial" w:cs="Arial"/>
                <w:b/>
                <w:b/>
                <w:sz w:val="20"/>
                <w:szCs w:val="20"/>
              </w:rPr>
            </w:pPr>
            <w:r>
              <w:rPr>
                <w:rFonts w:cs="Arial" w:ascii="Wingdings 2" w:hAnsi="Wingdings 2"/>
                <w:b/>
                <w:sz w:val="20"/>
                <w:szCs w:val="20"/>
              </w:rPr>
              <w:t></w:t>
            </w:r>
          </w:p>
        </w:tc>
        <w:tc>
          <w:tcPr>
            <w:tcW w:w="3167" w:type="dxa"/>
            <w:tcBorders/>
            <w:shd w:fill="auto" w:val="clear"/>
            <w:vAlign w:val="center"/>
          </w:tcPr>
          <w:p>
            <w:pPr>
              <w:pStyle w:val="ListParagraph"/>
              <w:spacing w:lineRule="auto" w:line="240" w:before="0" w:after="0"/>
              <w:ind w:left="360" w:hanging="0"/>
              <w:contextualSpacing/>
              <w:jc w:val="center"/>
              <w:rPr>
                <w:rFonts w:ascii="Arial" w:hAnsi="Arial" w:cs="Arial"/>
                <w:b/>
                <w:b/>
                <w:sz w:val="20"/>
                <w:szCs w:val="20"/>
              </w:rPr>
            </w:pPr>
            <w:r>
              <w:rPr>
                <w:rFonts w:cs="Arial" w:ascii="Arial" w:hAnsi="Arial"/>
                <w:b/>
                <w:sz w:val="20"/>
                <w:szCs w:val="20"/>
              </w:rPr>
            </w:r>
          </w:p>
        </w:tc>
        <w:tc>
          <w:tcPr>
            <w:tcW w:w="3164" w:type="dxa"/>
            <w:tcBorders/>
            <w:shd w:fill="auto" w:val="clear"/>
            <w:vAlign w:val="center"/>
          </w:tcPr>
          <w:p>
            <w:pPr>
              <w:pStyle w:val="Normal"/>
              <w:spacing w:lineRule="auto" w:line="240" w:before="0" w:after="0"/>
              <w:jc w:val="center"/>
              <w:rPr>
                <w:rFonts w:ascii="Arial" w:hAnsi="Arial" w:cs="Arial"/>
                <w:b/>
                <w:b/>
                <w:sz w:val="20"/>
                <w:szCs w:val="20"/>
              </w:rPr>
            </w:pPr>
            <w:r>
              <w:rPr>
                <w:rFonts w:cs="Arial" w:ascii="Wingdings 2" w:hAnsi="Wingdings 2"/>
                <w:b/>
                <w:sz w:val="20"/>
                <w:szCs w:val="20"/>
              </w:rPr>
              <w:t></w:t>
            </w:r>
          </w:p>
        </w:tc>
      </w:tr>
      <w:tr>
        <w:trPr/>
        <w:tc>
          <w:tcPr>
            <w:tcW w:w="2232" w:type="dxa"/>
            <w:tcBorders/>
            <w:shd w:fill="auto"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Existence</w:t>
            </w:r>
          </w:p>
        </w:tc>
        <w:tc>
          <w:tcPr>
            <w:tcW w:w="1101" w:type="dxa"/>
            <w:tcBorders/>
            <w:shd w:fill="auto"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E</w:t>
            </w:r>
          </w:p>
        </w:tc>
        <w:tc>
          <w:tcPr>
            <w:tcW w:w="3166" w:type="dxa"/>
            <w:tcBorders/>
            <w:shd w:fill="auto" w:val="clear"/>
            <w:vAlign w:val="center"/>
          </w:tcPr>
          <w:p>
            <w:pPr>
              <w:pStyle w:val="ListParagraph"/>
              <w:spacing w:lineRule="auto" w:line="240" w:before="0" w:after="0"/>
              <w:ind w:left="360" w:hanging="0"/>
              <w:contextualSpacing/>
              <w:jc w:val="center"/>
              <w:rPr>
                <w:rFonts w:ascii="Arial" w:hAnsi="Arial" w:cs="Arial"/>
                <w:b/>
                <w:b/>
                <w:sz w:val="20"/>
                <w:szCs w:val="20"/>
              </w:rPr>
            </w:pPr>
            <w:r>
              <w:rPr>
                <w:rFonts w:cs="Arial" w:ascii="Arial" w:hAnsi="Arial"/>
                <w:b/>
                <w:sz w:val="20"/>
                <w:szCs w:val="20"/>
              </w:rPr>
            </w:r>
          </w:p>
        </w:tc>
        <w:tc>
          <w:tcPr>
            <w:tcW w:w="3167" w:type="dxa"/>
            <w:tcBorders/>
            <w:shd w:fill="auto" w:val="clear"/>
            <w:vAlign w:val="center"/>
          </w:tcPr>
          <w:p>
            <w:pPr>
              <w:pStyle w:val="Normal"/>
              <w:spacing w:lineRule="auto" w:line="240" w:before="0" w:after="0"/>
              <w:jc w:val="center"/>
              <w:rPr>
                <w:rFonts w:ascii="Arial" w:hAnsi="Arial" w:cs="Arial"/>
                <w:b/>
                <w:b/>
                <w:sz w:val="20"/>
                <w:szCs w:val="20"/>
              </w:rPr>
            </w:pPr>
            <w:r>
              <w:rPr>
                <w:rFonts w:cs="Arial" w:ascii="Wingdings 2" w:hAnsi="Wingdings 2"/>
                <w:b/>
                <w:sz w:val="20"/>
                <w:szCs w:val="20"/>
              </w:rPr>
              <w:t></w:t>
            </w:r>
          </w:p>
        </w:tc>
        <w:tc>
          <w:tcPr>
            <w:tcW w:w="3164" w:type="dxa"/>
            <w:tcBorders/>
            <w:shd w:fill="auto" w:val="clear"/>
            <w:vAlign w:val="center"/>
          </w:tcPr>
          <w:p>
            <w:pPr>
              <w:pStyle w:val="Normal"/>
              <w:spacing w:lineRule="auto" w:line="240" w:before="0" w:after="0"/>
              <w:jc w:val="center"/>
              <w:rPr>
                <w:rFonts w:ascii="Arial" w:hAnsi="Arial" w:cs="Arial"/>
                <w:b/>
                <w:b/>
                <w:sz w:val="20"/>
                <w:szCs w:val="20"/>
              </w:rPr>
            </w:pPr>
            <w:r>
              <w:rPr>
                <w:rFonts w:cs="Arial" w:ascii="Arial" w:hAnsi="Arial"/>
                <w:b/>
                <w:sz w:val="20"/>
                <w:szCs w:val="20"/>
              </w:rPr>
            </w:r>
          </w:p>
        </w:tc>
      </w:tr>
      <w:tr>
        <w:trPr/>
        <w:tc>
          <w:tcPr>
            <w:tcW w:w="2232" w:type="dxa"/>
            <w:tcBorders/>
            <w:shd w:fill="auto"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Rights and Obligations</w:t>
            </w:r>
          </w:p>
        </w:tc>
        <w:tc>
          <w:tcPr>
            <w:tcW w:w="1101" w:type="dxa"/>
            <w:tcBorders/>
            <w:shd w:fill="auto"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R</w:t>
            </w:r>
          </w:p>
        </w:tc>
        <w:tc>
          <w:tcPr>
            <w:tcW w:w="3166" w:type="dxa"/>
            <w:tcBorders/>
            <w:shd w:fill="auto" w:val="clear"/>
            <w:vAlign w:val="center"/>
          </w:tcPr>
          <w:p>
            <w:pPr>
              <w:pStyle w:val="ListParagraph"/>
              <w:spacing w:lineRule="auto" w:line="240" w:before="0" w:after="0"/>
              <w:ind w:left="360" w:hanging="0"/>
              <w:contextualSpacing/>
              <w:jc w:val="center"/>
              <w:rPr>
                <w:rFonts w:ascii="Arial" w:hAnsi="Arial" w:cs="Arial"/>
                <w:b/>
                <w:b/>
                <w:sz w:val="20"/>
                <w:szCs w:val="20"/>
              </w:rPr>
            </w:pPr>
            <w:r>
              <w:rPr>
                <w:rFonts w:cs="Arial" w:ascii="Arial" w:hAnsi="Arial"/>
                <w:b/>
                <w:sz w:val="20"/>
                <w:szCs w:val="20"/>
              </w:rPr>
            </w:r>
          </w:p>
        </w:tc>
        <w:tc>
          <w:tcPr>
            <w:tcW w:w="3167" w:type="dxa"/>
            <w:tcBorders/>
            <w:shd w:fill="auto" w:val="clear"/>
            <w:vAlign w:val="center"/>
          </w:tcPr>
          <w:p>
            <w:pPr>
              <w:pStyle w:val="Normal"/>
              <w:spacing w:lineRule="auto" w:line="240" w:before="0" w:after="0"/>
              <w:jc w:val="center"/>
              <w:rPr>
                <w:rFonts w:ascii="Arial" w:hAnsi="Arial" w:cs="Arial"/>
                <w:b/>
                <w:b/>
                <w:sz w:val="20"/>
                <w:szCs w:val="20"/>
              </w:rPr>
            </w:pPr>
            <w:r>
              <w:rPr>
                <w:rFonts w:cs="Arial" w:ascii="Wingdings 2" w:hAnsi="Wingdings 2"/>
                <w:b/>
                <w:sz w:val="20"/>
                <w:szCs w:val="20"/>
              </w:rPr>
              <w:t></w:t>
            </w:r>
          </w:p>
        </w:tc>
        <w:tc>
          <w:tcPr>
            <w:tcW w:w="3164" w:type="dxa"/>
            <w:tcBorders/>
            <w:shd w:fill="auto" w:val="clear"/>
            <w:vAlign w:val="center"/>
          </w:tcPr>
          <w:p>
            <w:pPr>
              <w:pStyle w:val="Normal"/>
              <w:spacing w:lineRule="auto" w:line="240" w:before="0" w:after="0"/>
              <w:jc w:val="center"/>
              <w:rPr>
                <w:rFonts w:ascii="Arial" w:hAnsi="Arial" w:cs="Arial"/>
                <w:b/>
                <w:b/>
                <w:sz w:val="20"/>
                <w:szCs w:val="20"/>
              </w:rPr>
            </w:pPr>
            <w:r>
              <w:rPr>
                <w:rFonts w:cs="Arial" w:ascii="Wingdings 2" w:hAnsi="Wingdings 2"/>
                <w:b/>
                <w:sz w:val="20"/>
                <w:szCs w:val="20"/>
              </w:rPr>
              <w:t></w:t>
            </w:r>
          </w:p>
        </w:tc>
      </w:tr>
      <w:tr>
        <w:trPr/>
        <w:tc>
          <w:tcPr>
            <w:tcW w:w="2232" w:type="dxa"/>
            <w:tcBorders/>
            <w:shd w:fill="auto"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Valuation</w:t>
            </w:r>
          </w:p>
        </w:tc>
        <w:tc>
          <w:tcPr>
            <w:tcW w:w="1101" w:type="dxa"/>
            <w:tcBorders/>
            <w:shd w:fill="auto"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V</w:t>
            </w:r>
          </w:p>
        </w:tc>
        <w:tc>
          <w:tcPr>
            <w:tcW w:w="3166" w:type="dxa"/>
            <w:tcBorders/>
            <w:shd w:fill="auto" w:val="clear"/>
            <w:vAlign w:val="center"/>
          </w:tcPr>
          <w:p>
            <w:pPr>
              <w:pStyle w:val="ListParagraph"/>
              <w:spacing w:lineRule="auto" w:line="240" w:before="0" w:after="0"/>
              <w:ind w:left="360" w:hanging="0"/>
              <w:contextualSpacing/>
              <w:jc w:val="center"/>
              <w:rPr>
                <w:rFonts w:ascii="Arial" w:hAnsi="Arial" w:cs="Arial"/>
                <w:b/>
                <w:b/>
                <w:sz w:val="20"/>
                <w:szCs w:val="20"/>
              </w:rPr>
            </w:pPr>
            <w:r>
              <w:rPr>
                <w:rFonts w:cs="Arial" w:ascii="Arial" w:hAnsi="Arial"/>
                <w:b/>
                <w:sz w:val="20"/>
                <w:szCs w:val="20"/>
              </w:rPr>
            </w:r>
          </w:p>
        </w:tc>
        <w:tc>
          <w:tcPr>
            <w:tcW w:w="3167" w:type="dxa"/>
            <w:tcBorders/>
            <w:shd w:fill="auto" w:val="clear"/>
            <w:vAlign w:val="center"/>
          </w:tcPr>
          <w:p>
            <w:pPr>
              <w:pStyle w:val="Normal"/>
              <w:spacing w:lineRule="auto" w:line="240" w:before="0" w:after="0"/>
              <w:jc w:val="center"/>
              <w:rPr>
                <w:rFonts w:ascii="Arial" w:hAnsi="Arial" w:cs="Arial"/>
                <w:b/>
                <w:b/>
                <w:sz w:val="20"/>
                <w:szCs w:val="20"/>
              </w:rPr>
            </w:pPr>
            <w:r>
              <w:rPr>
                <w:rFonts w:cs="Arial" w:ascii="Wingdings 2" w:hAnsi="Wingdings 2"/>
                <w:b/>
                <w:sz w:val="20"/>
                <w:szCs w:val="20"/>
              </w:rPr>
              <w:t></w:t>
            </w:r>
          </w:p>
        </w:tc>
        <w:tc>
          <w:tcPr>
            <w:tcW w:w="3164" w:type="dxa"/>
            <w:tcBorders/>
            <w:shd w:fill="auto" w:val="clear"/>
            <w:vAlign w:val="center"/>
          </w:tcPr>
          <w:p>
            <w:pPr>
              <w:pStyle w:val="Normal"/>
              <w:spacing w:lineRule="auto" w:line="240" w:before="0" w:after="0"/>
              <w:jc w:val="center"/>
              <w:rPr>
                <w:rFonts w:ascii="Arial" w:hAnsi="Arial" w:cs="Arial"/>
                <w:b/>
                <w:b/>
                <w:sz w:val="20"/>
                <w:szCs w:val="20"/>
              </w:rPr>
            </w:pPr>
            <w:r>
              <w:rPr>
                <w:rFonts w:cs="Arial" w:ascii="Wingdings 2" w:hAnsi="Wingdings 2"/>
                <w:b/>
                <w:sz w:val="20"/>
                <w:szCs w:val="20"/>
              </w:rPr>
              <w:t></w:t>
            </w:r>
          </w:p>
        </w:tc>
      </w:tr>
      <w:tr>
        <w:trPr/>
        <w:tc>
          <w:tcPr>
            <w:tcW w:w="2232" w:type="dxa"/>
            <w:tcBorders/>
            <w:shd w:fill="auto"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Allocation</w:t>
            </w:r>
          </w:p>
        </w:tc>
        <w:tc>
          <w:tcPr>
            <w:tcW w:w="1101" w:type="dxa"/>
            <w:tcBorders/>
            <w:shd w:fill="auto"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K</w:t>
            </w:r>
          </w:p>
        </w:tc>
        <w:tc>
          <w:tcPr>
            <w:tcW w:w="3166" w:type="dxa"/>
            <w:tcBorders/>
            <w:shd w:fill="auto" w:val="clear"/>
            <w:vAlign w:val="center"/>
          </w:tcPr>
          <w:p>
            <w:pPr>
              <w:pStyle w:val="ListParagraph"/>
              <w:spacing w:lineRule="auto" w:line="240" w:before="0" w:after="0"/>
              <w:ind w:left="360" w:hanging="0"/>
              <w:contextualSpacing/>
              <w:jc w:val="center"/>
              <w:rPr>
                <w:rFonts w:ascii="Arial" w:hAnsi="Arial" w:cs="Arial"/>
                <w:b/>
                <w:b/>
                <w:sz w:val="20"/>
                <w:szCs w:val="20"/>
              </w:rPr>
            </w:pPr>
            <w:r>
              <w:rPr>
                <w:rFonts w:cs="Arial" w:ascii="Arial" w:hAnsi="Arial"/>
                <w:b/>
                <w:sz w:val="20"/>
                <w:szCs w:val="20"/>
              </w:rPr>
            </w:r>
          </w:p>
        </w:tc>
        <w:tc>
          <w:tcPr>
            <w:tcW w:w="3167" w:type="dxa"/>
            <w:tcBorders/>
            <w:shd w:fill="auto" w:val="clear"/>
            <w:vAlign w:val="center"/>
          </w:tcPr>
          <w:p>
            <w:pPr>
              <w:pStyle w:val="Normal"/>
              <w:spacing w:lineRule="auto" w:line="240" w:before="0" w:after="0"/>
              <w:jc w:val="center"/>
              <w:rPr>
                <w:rFonts w:ascii="Arial" w:hAnsi="Arial" w:cs="Arial"/>
                <w:b/>
                <w:b/>
                <w:sz w:val="20"/>
                <w:szCs w:val="20"/>
              </w:rPr>
            </w:pPr>
            <w:r>
              <w:rPr>
                <w:rFonts w:cs="Arial" w:ascii="Wingdings 2" w:hAnsi="Wingdings 2"/>
                <w:b/>
                <w:sz w:val="20"/>
                <w:szCs w:val="20"/>
              </w:rPr>
              <w:t></w:t>
            </w:r>
          </w:p>
        </w:tc>
        <w:tc>
          <w:tcPr>
            <w:tcW w:w="3164" w:type="dxa"/>
            <w:tcBorders/>
            <w:shd w:fill="auto" w:val="clear"/>
            <w:vAlign w:val="center"/>
          </w:tcPr>
          <w:p>
            <w:pPr>
              <w:pStyle w:val="ListParagraph"/>
              <w:spacing w:lineRule="auto" w:line="240" w:before="0" w:after="0"/>
              <w:ind w:left="360" w:hanging="0"/>
              <w:contextualSpacing/>
              <w:jc w:val="center"/>
              <w:rPr>
                <w:rFonts w:ascii="Arial" w:hAnsi="Arial" w:cs="Arial"/>
                <w:b/>
                <w:b/>
                <w:sz w:val="20"/>
                <w:szCs w:val="20"/>
              </w:rPr>
            </w:pPr>
            <w:r>
              <w:rPr>
                <w:rFonts w:cs="Arial" w:ascii="Arial" w:hAnsi="Arial"/>
                <w:b/>
                <w:sz w:val="20"/>
                <w:szCs w:val="20"/>
              </w:rPr>
            </w:r>
          </w:p>
        </w:tc>
      </w:tr>
      <w:tr>
        <w:trPr/>
        <w:tc>
          <w:tcPr>
            <w:tcW w:w="2232" w:type="dxa"/>
            <w:tcBorders/>
            <w:shd w:fill="auto"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Understandability</w:t>
            </w:r>
          </w:p>
        </w:tc>
        <w:tc>
          <w:tcPr>
            <w:tcW w:w="1101" w:type="dxa"/>
            <w:tcBorders/>
            <w:shd w:fill="auto"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U</w:t>
            </w:r>
          </w:p>
        </w:tc>
        <w:tc>
          <w:tcPr>
            <w:tcW w:w="3166" w:type="dxa"/>
            <w:tcBorders/>
            <w:shd w:fill="auto" w:val="clear"/>
            <w:vAlign w:val="center"/>
          </w:tcPr>
          <w:p>
            <w:pPr>
              <w:pStyle w:val="ListParagraph"/>
              <w:spacing w:lineRule="auto" w:line="240" w:before="0" w:after="0"/>
              <w:ind w:left="360" w:hanging="0"/>
              <w:contextualSpacing/>
              <w:jc w:val="center"/>
              <w:rPr>
                <w:rFonts w:ascii="Arial" w:hAnsi="Arial" w:cs="Arial"/>
                <w:b/>
                <w:b/>
                <w:sz w:val="20"/>
                <w:szCs w:val="20"/>
              </w:rPr>
            </w:pPr>
            <w:r>
              <w:rPr>
                <w:rFonts w:cs="Arial" w:ascii="Arial" w:hAnsi="Arial"/>
                <w:b/>
                <w:sz w:val="20"/>
                <w:szCs w:val="20"/>
              </w:rPr>
            </w:r>
          </w:p>
        </w:tc>
        <w:tc>
          <w:tcPr>
            <w:tcW w:w="3167" w:type="dxa"/>
            <w:tcBorders/>
            <w:shd w:fill="auto" w:val="clear"/>
            <w:vAlign w:val="center"/>
          </w:tcPr>
          <w:p>
            <w:pPr>
              <w:pStyle w:val="ListParagraph"/>
              <w:spacing w:lineRule="auto" w:line="240" w:before="0" w:after="0"/>
              <w:ind w:left="360" w:hanging="0"/>
              <w:contextualSpacing/>
              <w:jc w:val="center"/>
              <w:rPr>
                <w:rFonts w:ascii="Arial" w:hAnsi="Arial" w:cs="Arial"/>
                <w:b/>
                <w:b/>
                <w:sz w:val="20"/>
                <w:szCs w:val="20"/>
              </w:rPr>
            </w:pPr>
            <w:r>
              <w:rPr>
                <w:rFonts w:cs="Arial" w:ascii="Arial" w:hAnsi="Arial"/>
                <w:b/>
                <w:sz w:val="20"/>
                <w:szCs w:val="20"/>
              </w:rPr>
            </w:r>
          </w:p>
        </w:tc>
        <w:tc>
          <w:tcPr>
            <w:tcW w:w="3164" w:type="dxa"/>
            <w:tcBorders/>
            <w:shd w:fill="auto" w:val="clear"/>
            <w:vAlign w:val="center"/>
          </w:tcPr>
          <w:p>
            <w:pPr>
              <w:pStyle w:val="Normal"/>
              <w:spacing w:lineRule="auto" w:line="240" w:before="0" w:after="0"/>
              <w:jc w:val="center"/>
              <w:rPr>
                <w:rFonts w:ascii="Arial" w:hAnsi="Arial" w:cs="Arial"/>
                <w:b/>
                <w:b/>
                <w:sz w:val="20"/>
                <w:szCs w:val="20"/>
              </w:rPr>
            </w:pPr>
            <w:r>
              <w:rPr>
                <w:rFonts w:cs="Arial" w:ascii="Wingdings 2" w:hAnsi="Wingdings 2"/>
                <w:b/>
                <w:sz w:val="20"/>
                <w:szCs w:val="20"/>
              </w:rPr>
              <w:t></w:t>
            </w:r>
          </w:p>
        </w:tc>
      </w:tr>
    </w:tbl>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t>Financial Statement Level</w:t>
      </w:r>
    </w:p>
    <w:p>
      <w:pPr>
        <w:pStyle w:val="Normal"/>
        <w:spacing w:lineRule="auto" w:line="240" w:before="240" w:after="160"/>
        <w:jc w:val="both"/>
        <w:rPr>
          <w:rFonts w:ascii="Arial" w:hAnsi="Arial" w:cs="Arial"/>
          <w:sz w:val="20"/>
          <w:szCs w:val="20"/>
        </w:rPr>
      </w:pPr>
      <w:r>
        <w:rPr>
          <w:rFonts w:cs="Arial" w:ascii="Arial" w:hAnsi="Arial"/>
          <w:sz w:val="20"/>
          <w:szCs w:val="20"/>
        </w:rPr>
        <w:t xml:space="preserve">The auditor identifies risks of material misstatement at the financial statement level to determine whether the risks have a pervasive effect on the financial statements (risks that relate pervasively to the financial statements as a whole, and potentially affect many assertions), and would therefore require an overall response accordingly. In addition, risks of material misstatement at the financial statement level may also affect individual assertions, and identifying these risks may assist the auditor in assessing risks of material misstatement at the assertion level, and in designing further audit procedures to address the identified risks. </w:t>
      </w:r>
    </w:p>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t>Assertion Level</w:t>
      </w:r>
    </w:p>
    <w:p>
      <w:pPr>
        <w:pStyle w:val="Normal"/>
        <w:spacing w:lineRule="auto" w:line="240" w:before="240" w:after="160"/>
        <w:jc w:val="both"/>
        <w:rPr>
          <w:rFonts w:ascii="Arial" w:hAnsi="Arial" w:cs="Arial"/>
          <w:sz w:val="20"/>
          <w:szCs w:val="20"/>
        </w:rPr>
      </w:pPr>
      <w:r>
        <w:rPr>
          <w:rFonts w:cs="Arial" w:ascii="Arial" w:hAnsi="Arial"/>
          <w:sz w:val="20"/>
          <w:szCs w:val="20"/>
        </w:rPr>
        <w:t xml:space="preserve">In contrast, risks of material misstatements that do not relate pervasively to the financial statements are risks of material misstatement at the assertion level. </w:t>
      </w:r>
    </w:p>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t>Assessment of Likelihood and Magnitude of Misstatement</w:t>
      </w:r>
    </w:p>
    <w:p>
      <w:pPr>
        <w:pStyle w:val="Normal"/>
        <w:spacing w:lineRule="auto" w:line="240" w:before="240" w:after="160"/>
        <w:jc w:val="both"/>
        <w:rPr>
          <w:rFonts w:ascii="Arial" w:hAnsi="Arial" w:cs="Arial"/>
          <w:sz w:val="20"/>
          <w:szCs w:val="20"/>
        </w:rPr>
      </w:pPr>
      <w:r>
        <w:rPr>
          <w:rFonts w:cs="Arial" w:ascii="Arial" w:hAnsi="Arial"/>
          <w:sz w:val="20"/>
          <w:szCs w:val="20"/>
        </w:rPr>
        <w:t>The auditor assesses the likelihood and magnitude of misstatement for identified risks of material misstatement because the significance of the combination of the likelihood of a misstatement occurring and the magnitude of the potential misstatement determines where on the spectrum of inherent risk the identified risk is assessed, as well as whether it is a significant risk, which informs the auditor’s design of further audit procedures to address the risk. The auditor uses professional judgment in determining the significance of the combination of the likelihood and magnitude of a misstatement.</w:t>
      </w:r>
    </w:p>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t>Significant Risks</w:t>
      </w:r>
    </w:p>
    <w:p>
      <w:pPr>
        <w:pStyle w:val="Normal"/>
        <w:spacing w:lineRule="auto" w:line="240" w:before="240" w:after="160"/>
        <w:jc w:val="both"/>
        <w:rPr>
          <w:rFonts w:ascii="Arial" w:hAnsi="Arial" w:cs="Arial"/>
          <w:sz w:val="20"/>
          <w:szCs w:val="20"/>
        </w:rPr>
      </w:pPr>
      <w:r>
        <w:rPr>
          <w:rFonts w:cs="Arial" w:ascii="Arial" w:hAnsi="Arial"/>
          <w:sz w:val="20"/>
          <w:szCs w:val="20"/>
        </w:rPr>
        <w:t>A significant risk is where the assessed risk of material misstatement is so high that, in the auditor’s judgment, it will require special audit consideration. Significant risks are assessed before consideration of any mitigating controls. Significant risk is based on the inherent risk (before considering the related internal control) and not the combined risk (considering both inherent and internal control risks). Factors that may indicate possible significant risks are as follows:</w:t>
      </w:r>
    </w:p>
    <w:p>
      <w:pPr>
        <w:pStyle w:val="ListParagraph"/>
        <w:numPr>
          <w:ilvl w:val="0"/>
          <w:numId w:val="1"/>
        </w:numPr>
        <w:spacing w:lineRule="auto" w:line="240" w:before="240" w:after="160"/>
        <w:contextualSpacing/>
        <w:jc w:val="both"/>
        <w:rPr>
          <w:rFonts w:ascii="Arial" w:hAnsi="Arial" w:cs="Arial"/>
          <w:sz w:val="20"/>
          <w:szCs w:val="20"/>
        </w:rPr>
      </w:pPr>
      <w:r>
        <w:rPr>
          <w:rFonts w:cs="Arial" w:ascii="Arial" w:hAnsi="Arial"/>
          <w:sz w:val="20"/>
          <w:szCs w:val="20"/>
        </w:rPr>
        <w:t>Risk of fraud;</w:t>
      </w:r>
    </w:p>
    <w:p>
      <w:pPr>
        <w:pStyle w:val="ListParagraph"/>
        <w:numPr>
          <w:ilvl w:val="0"/>
          <w:numId w:val="1"/>
        </w:numPr>
        <w:spacing w:lineRule="auto" w:line="240" w:before="240" w:after="160"/>
        <w:contextualSpacing/>
        <w:jc w:val="both"/>
        <w:rPr>
          <w:rFonts w:ascii="Arial" w:hAnsi="Arial" w:cs="Arial"/>
          <w:sz w:val="20"/>
          <w:szCs w:val="20"/>
        </w:rPr>
      </w:pPr>
      <w:r>
        <w:rPr>
          <w:rFonts w:cs="Arial" w:ascii="Arial" w:hAnsi="Arial"/>
          <w:sz w:val="20"/>
          <w:szCs w:val="20"/>
        </w:rPr>
        <w:t>Risks related to recent significant economic, accounting, or other developments, and therefore require specific attention;</w:t>
      </w:r>
    </w:p>
    <w:p>
      <w:pPr>
        <w:pStyle w:val="ListParagraph"/>
        <w:numPr>
          <w:ilvl w:val="0"/>
          <w:numId w:val="1"/>
        </w:numPr>
        <w:spacing w:lineRule="auto" w:line="240" w:before="240" w:after="160"/>
        <w:contextualSpacing/>
        <w:jc w:val="both"/>
        <w:rPr>
          <w:rFonts w:ascii="Arial" w:hAnsi="Arial" w:cs="Arial"/>
          <w:sz w:val="20"/>
          <w:szCs w:val="20"/>
        </w:rPr>
      </w:pPr>
      <w:r>
        <w:rPr>
          <w:rFonts w:cs="Arial" w:ascii="Arial" w:hAnsi="Arial"/>
          <w:sz w:val="20"/>
          <w:szCs w:val="20"/>
        </w:rPr>
        <w:t>Complexity of transactions;</w:t>
      </w:r>
    </w:p>
    <w:p>
      <w:pPr>
        <w:pStyle w:val="ListParagraph"/>
        <w:numPr>
          <w:ilvl w:val="0"/>
          <w:numId w:val="1"/>
        </w:numPr>
        <w:spacing w:lineRule="auto" w:line="240" w:before="240" w:after="160"/>
        <w:contextualSpacing/>
        <w:jc w:val="both"/>
        <w:rPr>
          <w:rFonts w:ascii="Arial" w:hAnsi="Arial" w:cs="Arial"/>
          <w:sz w:val="20"/>
          <w:szCs w:val="20"/>
        </w:rPr>
      </w:pPr>
      <w:r>
        <w:rPr>
          <w:rFonts w:cs="Arial" w:ascii="Arial" w:hAnsi="Arial"/>
          <w:sz w:val="20"/>
          <w:szCs w:val="20"/>
        </w:rPr>
        <w:t>Significant transactions with related parties;</w:t>
      </w:r>
    </w:p>
    <w:p>
      <w:pPr>
        <w:pStyle w:val="ListParagraph"/>
        <w:numPr>
          <w:ilvl w:val="0"/>
          <w:numId w:val="1"/>
        </w:numPr>
        <w:spacing w:lineRule="auto" w:line="240" w:before="240" w:after="160"/>
        <w:contextualSpacing/>
        <w:jc w:val="both"/>
        <w:rPr>
          <w:rFonts w:ascii="Arial" w:hAnsi="Arial" w:cs="Arial"/>
          <w:sz w:val="20"/>
          <w:szCs w:val="20"/>
        </w:rPr>
      </w:pPr>
      <w:r>
        <w:rPr>
          <w:rFonts w:cs="Arial" w:ascii="Arial" w:hAnsi="Arial"/>
          <w:sz w:val="20"/>
          <w:szCs w:val="20"/>
        </w:rPr>
        <w:t>The degree of subjectivity in the measurement of financial information related to the risk, especially those involving a wide range of measurement uncertainty; or</w:t>
      </w:r>
    </w:p>
    <w:p>
      <w:pPr>
        <w:pStyle w:val="ListParagraph"/>
        <w:numPr>
          <w:ilvl w:val="0"/>
          <w:numId w:val="1"/>
        </w:numPr>
        <w:spacing w:lineRule="auto" w:line="240" w:before="240" w:after="160"/>
        <w:contextualSpacing/>
        <w:jc w:val="both"/>
        <w:rPr>
          <w:rFonts w:ascii="Arial" w:hAnsi="Arial" w:cs="Arial"/>
          <w:sz w:val="20"/>
          <w:szCs w:val="20"/>
        </w:rPr>
      </w:pPr>
      <w:r>
        <w:rPr>
          <w:rFonts w:cs="Arial" w:ascii="Arial" w:hAnsi="Arial"/>
          <w:sz w:val="20"/>
          <w:szCs w:val="20"/>
        </w:rPr>
        <w:t>Significant transactions that are outside the normal course of business for the entity or that otherwise appear to be unusual.</w:t>
      </w:r>
    </w:p>
    <w:p>
      <w:pPr>
        <w:pStyle w:val="Normal"/>
        <w:spacing w:lineRule="auto" w:line="240" w:before="240" w:after="160"/>
        <w:jc w:val="both"/>
        <w:rPr>
          <w:rFonts w:ascii="Arial" w:hAnsi="Arial" w:cs="Arial"/>
          <w:sz w:val="20"/>
          <w:szCs w:val="20"/>
        </w:rPr>
      </w:pPr>
      <w:r>
        <w:rPr>
          <w:rFonts w:cs="Arial" w:ascii="Arial" w:hAnsi="Arial"/>
          <w:sz w:val="20"/>
          <w:szCs w:val="20"/>
        </w:rPr>
        <w:t xml:space="preserve">The determination of significant risks allows for the auditor to focus more attention on those risks that are on the upper end of the spectrum of inherent risk, through the performance of certain required responses, including: </w:t>
      </w:r>
    </w:p>
    <w:p>
      <w:pPr>
        <w:pStyle w:val="ListParagraph"/>
        <w:numPr>
          <w:ilvl w:val="0"/>
          <w:numId w:val="2"/>
        </w:numPr>
        <w:spacing w:lineRule="auto" w:line="240" w:before="240" w:after="160"/>
        <w:contextualSpacing/>
        <w:jc w:val="both"/>
        <w:rPr>
          <w:rFonts w:ascii="Arial" w:hAnsi="Arial" w:cs="Arial"/>
          <w:sz w:val="20"/>
          <w:szCs w:val="20"/>
        </w:rPr>
      </w:pPr>
      <w:r>
        <w:rPr>
          <w:rFonts w:cs="Arial" w:ascii="Arial" w:hAnsi="Arial"/>
          <w:sz w:val="20"/>
          <w:szCs w:val="20"/>
        </w:rPr>
        <w:t>Controls that address significant risks are required to be identified and evaluated as to whether the control has been designed effectively and implemented.</w:t>
      </w:r>
    </w:p>
    <w:p>
      <w:pPr>
        <w:pStyle w:val="ListParagraph"/>
        <w:numPr>
          <w:ilvl w:val="0"/>
          <w:numId w:val="2"/>
        </w:numPr>
        <w:spacing w:lineRule="auto" w:line="240" w:before="240" w:after="160"/>
        <w:contextualSpacing/>
        <w:jc w:val="both"/>
        <w:rPr>
          <w:rFonts w:ascii="Arial" w:hAnsi="Arial" w:cs="Arial"/>
          <w:sz w:val="20"/>
          <w:szCs w:val="20"/>
        </w:rPr>
      </w:pPr>
      <w:r>
        <w:rPr>
          <w:rFonts w:cs="Arial" w:ascii="Arial" w:hAnsi="Arial"/>
          <w:sz w:val="20"/>
          <w:szCs w:val="20"/>
        </w:rPr>
        <w:t>Controls that address significant risks are required to be tested in the current period (when the auditor intends to rely on the operating effectiveness of such controls) and substantive procedures are required to be planned and performed that are specifically responsive to the identified significant risk.</w:t>
      </w:r>
    </w:p>
    <w:p>
      <w:pPr>
        <w:pStyle w:val="ListParagraph"/>
        <w:numPr>
          <w:ilvl w:val="0"/>
          <w:numId w:val="2"/>
        </w:numPr>
        <w:spacing w:lineRule="auto" w:line="240" w:before="240" w:after="160"/>
        <w:contextualSpacing/>
        <w:jc w:val="both"/>
        <w:rPr>
          <w:rFonts w:ascii="Arial" w:hAnsi="Arial" w:cs="Arial"/>
          <w:sz w:val="20"/>
          <w:szCs w:val="20"/>
        </w:rPr>
      </w:pPr>
      <w:r>
        <w:rPr>
          <w:rFonts w:cs="Arial" w:ascii="Arial" w:hAnsi="Arial"/>
          <w:sz w:val="20"/>
          <w:szCs w:val="20"/>
        </w:rPr>
        <w:t>The auditor is required to obtain more persuasive audit evidence the higher the auditor’s assessment of risk.</w:t>
      </w:r>
    </w:p>
    <w:p>
      <w:pPr>
        <w:pStyle w:val="ListParagraph"/>
        <w:numPr>
          <w:ilvl w:val="0"/>
          <w:numId w:val="2"/>
        </w:numPr>
        <w:spacing w:lineRule="auto" w:line="240" w:before="240" w:after="160"/>
        <w:contextualSpacing/>
        <w:jc w:val="both"/>
        <w:rPr>
          <w:rFonts w:ascii="Arial" w:hAnsi="Arial" w:cs="Arial"/>
          <w:sz w:val="20"/>
          <w:szCs w:val="20"/>
        </w:rPr>
      </w:pPr>
      <w:r>
        <w:rPr>
          <w:rFonts w:cs="Arial" w:ascii="Arial" w:hAnsi="Arial"/>
          <w:sz w:val="20"/>
          <w:szCs w:val="20"/>
        </w:rPr>
        <w:t>The auditor is required to communicate with those charged with governance about the significant risks identified.</w:t>
      </w:r>
    </w:p>
    <w:p>
      <w:pPr>
        <w:pStyle w:val="ListParagraph"/>
        <w:numPr>
          <w:ilvl w:val="0"/>
          <w:numId w:val="2"/>
        </w:numPr>
        <w:spacing w:lineRule="auto" w:line="240" w:before="240" w:after="160"/>
        <w:contextualSpacing/>
        <w:jc w:val="both"/>
        <w:rPr>
          <w:rFonts w:ascii="Arial" w:hAnsi="Arial" w:cs="Arial"/>
          <w:sz w:val="20"/>
          <w:szCs w:val="20"/>
        </w:rPr>
      </w:pPr>
      <w:r>
        <w:rPr>
          <w:rFonts w:cs="Arial" w:ascii="Arial" w:hAnsi="Arial"/>
          <w:sz w:val="20"/>
          <w:szCs w:val="20"/>
        </w:rPr>
        <w:t>The auditor is required to take into account significant risks when determining those matters that required significant auditor attention, which are matters that may be key audit matters.</w:t>
      </w:r>
    </w:p>
    <w:p>
      <w:pPr>
        <w:pStyle w:val="ListParagraph"/>
        <w:numPr>
          <w:ilvl w:val="0"/>
          <w:numId w:val="2"/>
        </w:numPr>
        <w:spacing w:lineRule="auto" w:line="240" w:before="240" w:after="160"/>
        <w:contextualSpacing/>
        <w:jc w:val="both"/>
        <w:rPr>
          <w:rFonts w:ascii="Arial" w:hAnsi="Arial" w:cs="Arial"/>
          <w:sz w:val="20"/>
          <w:szCs w:val="20"/>
        </w:rPr>
      </w:pPr>
      <w:r>
        <w:rPr>
          <w:rFonts w:cs="Arial" w:ascii="Arial" w:hAnsi="Arial"/>
          <w:sz w:val="20"/>
          <w:szCs w:val="20"/>
        </w:rPr>
        <w:t>Timely review of audit documentation by the engagement partner at the appropriate stages during the audit allows significant matters, including significant risks, to be resolved on a timely basis to the engagement partner’s satisfaction on or before the date of the auditor’s report.</w:t>
      </w:r>
    </w:p>
    <w:p>
      <w:pPr>
        <w:pStyle w:val="ListParagraph"/>
        <w:numPr>
          <w:ilvl w:val="0"/>
          <w:numId w:val="2"/>
        </w:numPr>
        <w:spacing w:lineRule="auto" w:line="240" w:before="240" w:after="160"/>
        <w:contextualSpacing/>
        <w:jc w:val="both"/>
        <w:rPr>
          <w:rFonts w:ascii="Arial" w:hAnsi="Arial" w:cs="Arial"/>
          <w:sz w:val="20"/>
          <w:szCs w:val="20"/>
        </w:rPr>
      </w:pPr>
      <w:r>
        <w:rPr>
          <w:rFonts w:cs="Arial" w:ascii="Arial" w:hAnsi="Arial"/>
          <w:sz w:val="20"/>
          <w:szCs w:val="20"/>
        </w:rPr>
        <w:t>More involvement by the group engagement partner is required if the significant risk relates to a component in a group audit and the group engagement team is required to direct the work at the component by the component auditor.</w:t>
      </w:r>
    </w:p>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t>Risks for Which Substantive Procedures Alone Do Not Provide Sufficient Appropriate Audit Evidence</w:t>
      </w:r>
    </w:p>
    <w:p>
      <w:pPr>
        <w:pStyle w:val="Normal"/>
        <w:spacing w:lineRule="auto" w:line="240" w:before="240" w:after="160"/>
        <w:jc w:val="both"/>
        <w:rPr>
          <w:rFonts w:ascii="Arial" w:hAnsi="Arial" w:cs="Arial"/>
          <w:sz w:val="20"/>
          <w:szCs w:val="20"/>
        </w:rPr>
      </w:pPr>
      <w:r>
        <w:rPr>
          <w:rFonts w:cs="Arial" w:ascii="Arial" w:hAnsi="Arial"/>
          <w:sz w:val="20"/>
          <w:szCs w:val="20"/>
        </w:rPr>
        <w:t xml:space="preserve">Due to the nature of a risk of material misstatement, and the control activities that address that risk, in some circumstances the only way to obtain sufficient appropriate audit evidence is to test the operating effectiveness of controls. Accordingly, there is a requirement for the auditor to identify any such risks because of the implications for the design and performance of further audit procedures to address risks of material misstatement at the assertion level. The auditor is also required to identify and obtain understanding of controls that address risks for which substantive procedures alone cannot provide sufficient appropriate audit evidence (as a result of risks relating to the inaccurate or incomplete recording of routine and significant classes of transactions or account balances, the characteristics of which often permit highly automated processing with little or no manual intervention) in order to design and perform tests of such controls. </w:t>
      </w:r>
    </w:p>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t>Assessment of Control Risks</w:t>
      </w:r>
    </w:p>
    <w:p>
      <w:pPr>
        <w:pStyle w:val="Normal"/>
        <w:spacing w:lineRule="auto" w:line="240" w:before="240" w:after="160"/>
        <w:jc w:val="both"/>
        <w:rPr>
          <w:rFonts w:ascii="Arial" w:hAnsi="Arial" w:cs="Arial"/>
          <w:sz w:val="20"/>
          <w:szCs w:val="20"/>
        </w:rPr>
      </w:pPr>
      <w:r>
        <w:rPr>
          <w:rFonts w:cs="Arial" w:ascii="Arial" w:hAnsi="Arial"/>
          <w:sz w:val="20"/>
          <w:szCs w:val="20"/>
        </w:rPr>
        <w:t>Lastly, the auditor’s plans to test the operating effectiveness of controls is based on the expectation that controls are operating effectively, and this will form the basis of the auditor’s assessment of control risk. The initial expectation of the operating effectiveness of controls is based on the auditor’s evaluation of the design, and the determination of implementation, of the identified controls in the control activities component. Once the auditor has tested the operating effectiveness of the controls, the auditor will be able to confirm the initial expectation about the operating effectiveness of controls. If the controls are not operating effectively as expected, then the auditor will need to revise the control risk assessment accordingly. The auditor’s assessment of control risk may be performed in different ways depending on preferred audit techniques or methodologies, and may be expressed in different ways.</w:t>
      </w:r>
    </w:p>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t>Specific Guidance</w:t>
      </w:r>
    </w:p>
    <w:p>
      <w:pPr>
        <w:pStyle w:val="Normal"/>
        <w:spacing w:lineRule="auto" w:line="240" w:before="240" w:after="160"/>
        <w:jc w:val="both"/>
        <w:rPr>
          <w:rFonts w:ascii="Arial" w:hAnsi="Arial" w:cs="Arial"/>
          <w:sz w:val="20"/>
          <w:szCs w:val="20"/>
        </w:rPr>
      </w:pPr>
      <w:r>
        <w:rPr>
          <w:rFonts w:cs="Arial" w:ascii="Arial" w:hAnsi="Arial"/>
          <w:sz w:val="20"/>
          <w:szCs w:val="20"/>
        </w:rPr>
        <w:t>The following is a list of ISAs with specific risk assessment procedures to be performed on every audit, where applicable:</w:t>
      </w:r>
    </w:p>
    <w:p>
      <w:pPr>
        <w:pStyle w:val="ListParagraph"/>
        <w:numPr>
          <w:ilvl w:val="0"/>
          <w:numId w:val="3"/>
        </w:numPr>
        <w:spacing w:lineRule="auto" w:line="240" w:before="240" w:after="160"/>
        <w:contextualSpacing/>
        <w:jc w:val="both"/>
        <w:rPr>
          <w:rFonts w:ascii="Arial" w:hAnsi="Arial" w:cs="Arial"/>
          <w:sz w:val="20"/>
          <w:szCs w:val="20"/>
        </w:rPr>
      </w:pPr>
      <w:r>
        <w:rPr>
          <w:rFonts w:cs="Arial" w:ascii="Arial" w:hAnsi="Arial"/>
          <w:sz w:val="20"/>
          <w:szCs w:val="20"/>
        </w:rPr>
        <w:t>ISA 240 The Auditor's Responsibilities Relating to Fraud in an Audit of Financial Statements</w:t>
      </w:r>
    </w:p>
    <w:p>
      <w:pPr>
        <w:pStyle w:val="ListParagraph"/>
        <w:numPr>
          <w:ilvl w:val="0"/>
          <w:numId w:val="3"/>
        </w:numPr>
        <w:spacing w:lineRule="auto" w:line="240" w:before="240" w:after="160"/>
        <w:contextualSpacing/>
        <w:jc w:val="both"/>
        <w:rPr>
          <w:rFonts w:ascii="Arial" w:hAnsi="Arial" w:cs="Arial"/>
          <w:sz w:val="20"/>
          <w:szCs w:val="20"/>
        </w:rPr>
      </w:pPr>
      <w:r>
        <w:rPr>
          <w:rFonts w:cs="Arial" w:ascii="Arial" w:hAnsi="Arial"/>
          <w:sz w:val="20"/>
          <w:szCs w:val="20"/>
        </w:rPr>
        <w:t>ISA 250 (Revised) Consideration of Laws and Regulations in an Audit of Financial Statements</w:t>
      </w:r>
    </w:p>
    <w:p>
      <w:pPr>
        <w:pStyle w:val="ListParagraph"/>
        <w:numPr>
          <w:ilvl w:val="0"/>
          <w:numId w:val="3"/>
        </w:numPr>
        <w:spacing w:lineRule="auto" w:line="240" w:before="240" w:after="160"/>
        <w:contextualSpacing/>
        <w:jc w:val="both"/>
        <w:rPr>
          <w:rFonts w:ascii="Arial" w:hAnsi="Arial" w:cs="Arial"/>
          <w:sz w:val="20"/>
          <w:szCs w:val="20"/>
        </w:rPr>
      </w:pPr>
      <w:r>
        <w:rPr>
          <w:rFonts w:cs="Arial" w:ascii="Arial" w:hAnsi="Arial"/>
          <w:sz w:val="20"/>
          <w:szCs w:val="20"/>
        </w:rPr>
        <w:t>ISA 540 (Revised) Auditing Accounting Estimates and Related Disclosures</w:t>
      </w:r>
    </w:p>
    <w:p>
      <w:pPr>
        <w:pStyle w:val="ListParagraph"/>
        <w:numPr>
          <w:ilvl w:val="0"/>
          <w:numId w:val="3"/>
        </w:numPr>
        <w:spacing w:lineRule="auto" w:line="240" w:before="240" w:after="160"/>
        <w:contextualSpacing/>
        <w:jc w:val="both"/>
        <w:rPr>
          <w:rFonts w:ascii="Arial" w:hAnsi="Arial" w:cs="Arial"/>
          <w:sz w:val="20"/>
          <w:szCs w:val="20"/>
        </w:rPr>
      </w:pPr>
      <w:r>
        <w:rPr>
          <w:rFonts w:cs="Arial" w:ascii="Arial" w:hAnsi="Arial"/>
          <w:sz w:val="20"/>
          <w:szCs w:val="20"/>
        </w:rPr>
        <w:t>ISA 550 Related Parties</w:t>
      </w:r>
    </w:p>
    <w:p>
      <w:pPr>
        <w:pStyle w:val="ListParagraph"/>
        <w:numPr>
          <w:ilvl w:val="0"/>
          <w:numId w:val="3"/>
        </w:numPr>
        <w:spacing w:lineRule="auto" w:line="240" w:before="240" w:after="160"/>
        <w:contextualSpacing/>
        <w:jc w:val="both"/>
        <w:rPr>
          <w:rFonts w:ascii="Arial" w:hAnsi="Arial" w:cs="Arial"/>
          <w:sz w:val="20"/>
          <w:szCs w:val="20"/>
        </w:rPr>
      </w:pPr>
      <w:r>
        <w:rPr>
          <w:rFonts w:cs="Arial" w:ascii="Arial" w:hAnsi="Arial"/>
          <w:sz w:val="20"/>
          <w:szCs w:val="20"/>
        </w:rPr>
        <w:t>ISA 570 (Revised) Going Concern</w:t>
      </w:r>
    </w:p>
    <w:p>
      <w:pPr>
        <w:pStyle w:val="ListParagraph"/>
        <w:numPr>
          <w:ilvl w:val="0"/>
          <w:numId w:val="3"/>
        </w:numPr>
        <w:spacing w:lineRule="auto" w:line="240" w:before="240" w:after="160"/>
        <w:contextualSpacing/>
        <w:jc w:val="both"/>
        <w:rPr>
          <w:rFonts w:ascii="Arial" w:hAnsi="Arial" w:cs="Arial"/>
          <w:sz w:val="20"/>
          <w:szCs w:val="20"/>
        </w:rPr>
      </w:pPr>
      <w:r>
        <w:rPr>
          <w:rFonts w:cs="Arial" w:ascii="Arial" w:hAnsi="Arial"/>
          <w:sz w:val="20"/>
          <w:szCs w:val="20"/>
        </w:rPr>
        <w:t>ISA 600 Special Considerations — Audits of Group Financial Statements (Including the Work of Component Auditors)</w:t>
      </w:r>
    </w:p>
    <w:p>
      <w:pPr>
        <w:pStyle w:val="Normal"/>
        <w:spacing w:lineRule="auto" w:line="240" w:before="240" w:after="160"/>
        <w:jc w:val="both"/>
        <w:rPr>
          <w:rFonts w:ascii="Arial" w:hAnsi="Arial" w:cs="Arial"/>
          <w:b/>
          <w:b/>
          <w:sz w:val="20"/>
          <w:szCs w:val="20"/>
        </w:rPr>
      </w:pPr>
      <w:r>
        <w:rPr>
          <w:rFonts w:cs="Arial" w:ascii="Arial" w:hAnsi="Arial"/>
          <w:b/>
          <w:sz w:val="20"/>
          <w:szCs w:val="20"/>
        </w:rPr>
      </w:r>
    </w:p>
    <w:p>
      <w:pPr>
        <w:pStyle w:val="Heading1"/>
        <w:spacing w:lineRule="auto" w:line="240"/>
        <w:rPr>
          <w:rFonts w:ascii="Arial" w:hAnsi="Arial" w:cs="Arial"/>
          <w:b/>
          <w:b/>
          <w:color w:val="auto"/>
          <w:sz w:val="24"/>
          <w:szCs w:val="24"/>
        </w:rPr>
      </w:pPr>
      <w:r>
        <w:rPr>
          <w:rFonts w:cs="Arial" w:ascii="Arial" w:hAnsi="Arial"/>
          <w:b/>
          <w:color w:val="auto"/>
          <w:sz w:val="24"/>
          <w:szCs w:val="24"/>
        </w:rPr>
        <w:t>Risk Assessment</w:t>
      </w:r>
      <w:bookmarkStart w:id="4" w:name="_Significant_and_Elevated"/>
      <w:bookmarkEnd w:id="4"/>
      <w:r>
        <w:rPr>
          <w:rFonts w:cs="Arial" w:ascii="Arial" w:hAnsi="Arial"/>
          <w:b/>
          <w:color w:val="auto"/>
          <w:sz w:val="24"/>
          <w:szCs w:val="24"/>
        </w:rPr>
        <w:t xml:space="preserve"> Document</w:t>
      </w:r>
    </w:p>
    <w:p>
      <w:pPr>
        <w:pStyle w:val="Normal"/>
        <w:spacing w:lineRule="auto" w:line="240" w:before="240" w:after="160"/>
        <w:jc w:val="both"/>
        <w:rPr>
          <w:rFonts w:ascii="Arial" w:hAnsi="Arial" w:cs="Arial"/>
          <w:b/>
          <w:b/>
          <w:sz w:val="20"/>
          <w:szCs w:val="20"/>
        </w:rPr>
      </w:pPr>
      <w:r>
        <w:rPr>
          <w:rFonts w:cs="Arial" w:ascii="Arial" w:hAnsi="Arial"/>
          <w:b/>
          <w:sz w:val="20"/>
          <w:szCs w:val="20"/>
        </w:rPr>
      </w:r>
    </w:p>
    <w:tbl>
      <w:tblPr>
        <w:tblStyle w:val="TableGrid"/>
        <w:tblW w:w="12949" w:type="dxa"/>
        <w:jc w:val="left"/>
        <w:tblInd w:w="0" w:type="dxa"/>
        <w:tblCellMar>
          <w:top w:w="0" w:type="dxa"/>
          <w:left w:w="108" w:type="dxa"/>
          <w:bottom w:w="0" w:type="dxa"/>
          <w:right w:w="108" w:type="dxa"/>
        </w:tblCellMar>
        <w:tblLook w:noVBand="1" w:val="04a0" w:noHBand="0" w:lastColumn="0" w:firstColumn="1" w:lastRow="0" w:firstRow="1"/>
      </w:tblPr>
      <w:tblGrid>
        <w:gridCol w:w="1618"/>
        <w:gridCol w:w="1615"/>
        <w:gridCol w:w="1622"/>
        <w:gridCol w:w="1619"/>
        <w:gridCol w:w="1618"/>
        <w:gridCol w:w="1619"/>
        <w:gridCol w:w="1620"/>
        <w:gridCol w:w="1616"/>
      </w:tblGrid>
      <w:tr>
        <w:trPr>
          <w:trHeight w:val="288" w:hRule="atLeast"/>
        </w:trPr>
        <w:tc>
          <w:tcPr>
            <w:tcW w:w="12947" w:type="dxa"/>
            <w:gridSpan w:val="8"/>
            <w:tcBorders/>
            <w:shd w:color="auto" w:fill="8EAADB" w:themeFill="accent5" w:themeFillTint="99" w:val="clear"/>
          </w:tcPr>
          <w:p>
            <w:pPr>
              <w:pStyle w:val="Normal"/>
              <w:spacing w:lineRule="auto" w:line="240" w:before="240" w:after="0"/>
              <w:rPr>
                <w:rFonts w:ascii="Arial" w:hAnsi="Arial" w:cs="Arial"/>
                <w:b/>
                <w:b/>
                <w:bCs/>
                <w:sz w:val="20"/>
                <w:szCs w:val="20"/>
              </w:rPr>
            </w:pPr>
            <w:r>
              <w:rPr>
                <w:rFonts w:cs="Arial" w:ascii="Arial" w:hAnsi="Arial"/>
                <w:b/>
                <w:bCs/>
                <w:sz w:val="20"/>
                <w:szCs w:val="20"/>
              </w:rPr>
              <w:t>Identification and Assessment of Risks</w:t>
            </w:r>
          </w:p>
        </w:tc>
      </w:tr>
      <w:tr>
        <w:trPr>
          <w:trHeight w:val="288" w:hRule="atLeast"/>
        </w:trPr>
        <w:tc>
          <w:tcPr>
            <w:tcW w:w="12947" w:type="dxa"/>
            <w:gridSpan w:val="8"/>
            <w:tcBorders/>
            <w:shd w:color="auto" w:fill="FFFFFF" w:themeFill="background1" w:val="clear"/>
          </w:tcPr>
          <w:p>
            <w:pPr>
              <w:pStyle w:val="Normal"/>
              <w:spacing w:before="0" w:after="0"/>
              <w:rPr>
                <w:rFonts w:ascii="Arial" w:hAnsi="Arial" w:cs="Arial"/>
                <w:bCs/>
                <w:sz w:val="20"/>
                <w:szCs w:val="20"/>
              </w:rPr>
            </w:pPr>
            <w:r>
              <w:rPr>
                <w:rFonts w:cs="Arial" w:ascii="Arial" w:hAnsi="Arial"/>
                <w:bCs/>
                <w:sz w:val="20"/>
                <w:szCs w:val="20"/>
              </w:rPr>
              <w:t xml:space="preserve">For risk of fraud in revenue recognition (checked those that apply): </w:t>
            </w:r>
          </w:p>
          <w:p>
            <w:pPr>
              <w:pStyle w:val="Normal"/>
              <w:spacing w:before="0" w:after="0"/>
              <w:rPr>
                <w:rFonts w:ascii="Arial" w:hAnsi="Arial" w:cs="Arial"/>
                <w:bCs/>
                <w:sz w:val="20"/>
                <w:szCs w:val="20"/>
              </w:rPr>
            </w:pPr>
            <w:r>
              <w:rPr>
                <w:rFonts w:cs="Arial" w:ascii="Arial" w:hAnsi="Arial"/>
                <w:bCs/>
                <w:sz w:val="20"/>
                <w:szCs w:val="20"/>
              </w:rPr>
            </w:r>
          </w:p>
          <w:p>
            <w:pPr>
              <w:pStyle w:val="TableBulletArial"/>
              <w:tabs>
                <w:tab w:val="clear" w:pos="720"/>
                <w:tab w:val="left" w:pos="288" w:leader="none"/>
              </w:tabs>
              <w:spacing w:before="0" w:after="0"/>
              <w:ind w:left="288" w:hanging="288"/>
              <w:jc w:val="both"/>
              <w:rPr>
                <w:bCs/>
                <w:szCs w:val="20"/>
              </w:rPr>
            </w:pPr>
            <w:sdt>
              <w:sdtPr>
                <w14:checkbox>
                  <w14:checked w:val=""/>
                  <w14:checkedState w:val=""/>
                  <w14:uncheckedState w:val=""/>
                </w14:checkbox>
              </w:sdtPr>
              <w:sdtContent>
                <w:r>
                  <w:rPr>
                    <w:rFonts w:eastAsia="MS Gothic" w:ascii="MS Gothic" w:hAnsi="MS Gothic"/>
                    <w:bCs/>
                    <w:szCs w:val="20"/>
                  </w:rPr>
                  <w:t>☐</w:t>
                </w:r>
              </w:sdtContent>
            </w:sdt>
            <w:r>
              <w:rPr>
                <w:bCs/>
                <w:szCs w:val="20"/>
              </w:rPr>
              <w:t xml:space="preserve"> </w:t>
            </w:r>
            <w:r>
              <w:rPr>
                <w:bCs/>
                <w:szCs w:val="20"/>
              </w:rPr>
              <w:t xml:space="preserve">There is a presumption of risks of fraud in revenue recognition on the basis of which we shall evaluate </w:t>
            </w:r>
            <w:r>
              <w:rPr>
                <w:szCs w:val="20"/>
                <w:lang w:val="en-GB"/>
              </w:rPr>
              <w:t>which</w:t>
            </w:r>
            <w:r>
              <w:rPr>
                <w:bCs/>
                <w:szCs w:val="20"/>
              </w:rPr>
              <w:t xml:space="preserve"> types of revenue, revenue transactions or assertions give rise to such risks. We shall include risk of fraud in revenue recognition, in this risk assessment document.</w:t>
            </w:r>
          </w:p>
          <w:p>
            <w:pPr>
              <w:pStyle w:val="TableBulletArial"/>
              <w:tabs>
                <w:tab w:val="clear" w:pos="720"/>
                <w:tab w:val="left" w:pos="288" w:leader="none"/>
              </w:tabs>
              <w:spacing w:before="0" w:after="0"/>
              <w:ind w:left="288" w:hanging="288"/>
              <w:jc w:val="both"/>
              <w:rPr>
                <w:bCs/>
                <w:szCs w:val="20"/>
              </w:rPr>
            </w:pPr>
            <w:r>
              <w:rPr>
                <w:bCs/>
                <w:szCs w:val="20"/>
              </w:rPr>
            </w:r>
          </w:p>
          <w:p>
            <w:pPr>
              <w:pStyle w:val="TableBulletArial"/>
              <w:tabs>
                <w:tab w:val="clear" w:pos="720"/>
                <w:tab w:val="left" w:pos="288" w:leader="none"/>
              </w:tabs>
              <w:spacing w:before="0" w:after="0"/>
              <w:ind w:left="288" w:hanging="288"/>
              <w:jc w:val="both"/>
              <w:rPr>
                <w:bCs/>
                <w:szCs w:val="20"/>
                <w:u w:val="single"/>
              </w:rPr>
            </w:pPr>
            <w:r>
              <w:rPr>
                <w:bCs/>
                <w:szCs w:val="20"/>
                <w:u w:val="single"/>
              </w:rPr>
              <w:t>OR</w:t>
            </w:r>
          </w:p>
          <w:p>
            <w:pPr>
              <w:pStyle w:val="TableBulletArial"/>
              <w:tabs>
                <w:tab w:val="clear" w:pos="720"/>
                <w:tab w:val="left" w:pos="288" w:leader="none"/>
              </w:tabs>
              <w:spacing w:before="0" w:after="0"/>
              <w:ind w:left="288" w:hanging="288"/>
              <w:jc w:val="both"/>
              <w:rPr>
                <w:bCs/>
                <w:szCs w:val="20"/>
                <w:u w:val="single"/>
              </w:rPr>
            </w:pPr>
            <w:r>
              <w:rPr>
                <w:bCs/>
                <w:szCs w:val="20"/>
                <w:u w:val="single"/>
              </w:rPr>
            </w:r>
          </w:p>
          <w:p>
            <w:pPr>
              <w:pStyle w:val="TableBulletArial"/>
              <w:tabs>
                <w:tab w:val="clear" w:pos="720"/>
                <w:tab w:val="left" w:pos="288" w:leader="none"/>
              </w:tabs>
              <w:spacing w:before="0" w:after="0"/>
              <w:ind w:left="288" w:hanging="288"/>
              <w:jc w:val="both"/>
              <w:rPr>
                <w:bCs/>
                <w:szCs w:val="20"/>
              </w:rPr>
            </w:pPr>
            <w:sdt>
              <w:sdtPr>
                <w14:checkbox>
                  <w14:checked w:val=""/>
                  <w14:checkedState w:val=""/>
                  <w14:uncheckedState w:val=""/>
                </w14:checkbox>
              </w:sdtPr>
              <w:sdtContent>
                <w:r>
                  <w:rPr>
                    <w:rFonts w:eastAsia="MS Gothic" w:ascii="MS Gothic" w:hAnsi="MS Gothic"/>
                    <w:bCs/>
                    <w:szCs w:val="20"/>
                  </w:rPr>
                  <w:t>☐</w:t>
                </w:r>
              </w:sdtContent>
            </w:sdt>
            <w:r>
              <w:rPr>
                <w:bCs/>
                <w:szCs w:val="20"/>
              </w:rPr>
              <w:t xml:space="preserve"> </w:t>
            </w:r>
            <w:r>
              <w:rPr>
                <w:bCs/>
                <w:szCs w:val="20"/>
              </w:rPr>
              <w:t>We conclude that risk of fraud in revenue recognition is not considered significant for certain revenue streams. Rationale for rebutting the significant risk of fraud in revenue presumption is as follows (checked those that apply):</w:t>
            </w:r>
          </w:p>
          <w:p>
            <w:pPr>
              <w:pStyle w:val="Normal"/>
              <w:spacing w:before="0" w:after="0"/>
              <w:ind w:left="245" w:hanging="0"/>
              <w:rPr>
                <w:rFonts w:ascii="Arial" w:hAnsi="Arial" w:cs="Arial"/>
                <w:bCs/>
                <w:sz w:val="20"/>
                <w:szCs w:val="20"/>
              </w:rPr>
            </w:pPr>
            <w:sdt>
              <w:sdtPr>
                <w14:checkbox>
                  <w14:checked w:val=""/>
                  <w14:checkedState w:val=""/>
                  <w14:uncheckedState w:val=""/>
                </w14:checkbox>
              </w:sdtPr>
              <w:sdtContent>
                <w:r>
                  <w:rPr>
                    <w:rFonts w:eastAsia="MS Gothic" w:cs="Arial" w:ascii="MS Gothic" w:hAnsi="MS Gothic"/>
                    <w:bCs/>
                    <w:sz w:val="20"/>
                    <w:szCs w:val="20"/>
                  </w:rPr>
                  <w:t>☐</w:t>
                </w:r>
              </w:sdtContent>
            </w:sdt>
            <w:r>
              <w:rPr>
                <w:rFonts w:cs="Arial" w:ascii="Arial" w:hAnsi="Arial"/>
                <w:bCs/>
                <w:sz w:val="20"/>
                <w:szCs w:val="20"/>
              </w:rPr>
              <w:t xml:space="preserve"> </w:t>
            </w:r>
            <w:r>
              <w:rPr>
                <w:rFonts w:cs="Arial" w:ascii="Arial" w:hAnsi="Arial"/>
                <w:bCs/>
                <w:sz w:val="20"/>
                <w:szCs w:val="20"/>
              </w:rPr>
              <w:t>Revenue recognition is not complex.</w:t>
            </w:r>
          </w:p>
          <w:p>
            <w:pPr>
              <w:pStyle w:val="TableBulletArial"/>
              <w:tabs>
                <w:tab w:val="clear" w:pos="720"/>
                <w:tab w:val="left" w:pos="288" w:leader="none"/>
              </w:tabs>
              <w:spacing w:before="0" w:after="0"/>
              <w:ind w:left="533" w:hanging="288"/>
              <w:jc w:val="both"/>
              <w:rPr>
                <w:bCs/>
                <w:szCs w:val="20"/>
              </w:rPr>
            </w:pPr>
            <w:sdt>
              <w:sdtPr>
                <w14:checkbox>
                  <w14:checked w:val=""/>
                  <w14:checkedState w:val=""/>
                  <w14:uncheckedState w:val=""/>
                </w14:checkbox>
              </w:sdtPr>
              <w:sdtContent>
                <w:r>
                  <w:rPr>
                    <w:rFonts w:eastAsia="MS Gothic" w:ascii="MS Gothic" w:hAnsi="MS Gothic"/>
                    <w:bCs/>
                    <w:szCs w:val="20"/>
                  </w:rPr>
                  <w:t>☐</w:t>
                </w:r>
              </w:sdtContent>
            </w:sdt>
            <w:r>
              <w:rPr>
                <w:bCs/>
                <w:szCs w:val="20"/>
              </w:rPr>
              <w:t xml:space="preserve"> </w:t>
            </w:r>
            <w:r>
              <w:rPr>
                <w:bCs/>
                <w:szCs w:val="20"/>
              </w:rPr>
              <w:t>There is little pressure on management to manipulate revenue as financial information supports that it is profitable, solvent and has positive cash flows.</w:t>
            </w:r>
          </w:p>
          <w:p>
            <w:pPr>
              <w:pStyle w:val="TableBulletArial"/>
              <w:tabs>
                <w:tab w:val="clear" w:pos="720"/>
                <w:tab w:val="left" w:pos="288" w:leader="none"/>
              </w:tabs>
              <w:spacing w:before="0" w:after="0"/>
              <w:ind w:left="533" w:hanging="288"/>
              <w:jc w:val="both"/>
              <w:rPr>
                <w:bCs/>
                <w:szCs w:val="20"/>
              </w:rPr>
            </w:pPr>
            <w:sdt>
              <w:sdtPr>
                <w14:checkbox>
                  <w14:checked w:val=""/>
                  <w14:checkedState w:val=""/>
                  <w14:uncheckedState w:val=""/>
                </w14:checkbox>
              </w:sdtPr>
              <w:sdtContent>
                <w:r>
                  <w:rPr>
                    <w:rFonts w:eastAsia="MS Gothic" w:ascii="MS Gothic" w:hAnsi="MS Gothic"/>
                    <w:bCs/>
                    <w:szCs w:val="20"/>
                  </w:rPr>
                  <w:t>☐</w:t>
                </w:r>
              </w:sdtContent>
            </w:sdt>
            <w:r>
              <w:rPr>
                <w:bCs/>
                <w:szCs w:val="20"/>
              </w:rPr>
              <w:t xml:space="preserve"> </w:t>
            </w:r>
            <w:r>
              <w:rPr>
                <w:bCs/>
                <w:szCs w:val="20"/>
              </w:rPr>
              <w:t>The date of transfer of risks and rewards of ownership relating to sales is readily identified by means of signed delivery notes.</w:t>
            </w:r>
          </w:p>
          <w:p>
            <w:pPr>
              <w:pStyle w:val="TableBulletArial"/>
              <w:tabs>
                <w:tab w:val="clear" w:pos="720"/>
                <w:tab w:val="left" w:pos="288" w:leader="none"/>
              </w:tabs>
              <w:spacing w:before="0" w:after="0"/>
              <w:ind w:left="533" w:hanging="288"/>
              <w:jc w:val="both"/>
              <w:rPr>
                <w:bCs/>
                <w:szCs w:val="20"/>
              </w:rPr>
            </w:pPr>
            <w:sdt>
              <w:sdtPr>
                <w14:checkbox>
                  <w14:checked w:val=""/>
                  <w14:checkedState w:val=""/>
                  <w14:uncheckedState w:val=""/>
                </w14:checkbox>
              </w:sdtPr>
              <w:sdtContent>
                <w:r>
                  <w:rPr>
                    <w:rFonts w:eastAsia="MS Gothic" w:ascii="MS Gothic" w:hAnsi="MS Gothic"/>
                    <w:bCs/>
                    <w:szCs w:val="20"/>
                  </w:rPr>
                  <w:t>☐</w:t>
                </w:r>
              </w:sdtContent>
            </w:sdt>
            <w:r>
              <w:rPr>
                <w:bCs/>
                <w:szCs w:val="20"/>
              </w:rPr>
              <w:t xml:space="preserve"> </w:t>
            </w:r>
            <w:r>
              <w:rPr>
                <w:bCs/>
                <w:szCs w:val="20"/>
              </w:rPr>
              <w:t>Sales are homogeneous, thereby decreasing the risk that incorrect revenue recognition relating to one sale could significantly affect revenue recognition for the year.</w:t>
              <w:tab/>
            </w:r>
          </w:p>
          <w:p>
            <w:pPr>
              <w:pStyle w:val="Normal"/>
              <w:spacing w:before="0" w:after="0"/>
              <w:ind w:left="245" w:hanging="0"/>
              <w:rPr>
                <w:rFonts w:ascii="Arial" w:hAnsi="Arial" w:cs="Arial"/>
                <w:bCs/>
                <w:sz w:val="20"/>
                <w:szCs w:val="20"/>
              </w:rPr>
            </w:pPr>
            <w:sdt>
              <w:sdtPr>
                <w14:checkbox>
                  <w14:checked w:val=""/>
                  <w14:checkedState w:val=""/>
                  <w14:uncheckedState w:val=""/>
                </w14:checkbox>
              </w:sdtPr>
              <w:sdtContent>
                <w:r>
                  <w:rPr>
                    <w:rFonts w:eastAsia="MS Gothic" w:cs="Arial" w:ascii="MS Gothic" w:hAnsi="MS Gothic"/>
                    <w:bCs/>
                    <w:sz w:val="20"/>
                    <w:szCs w:val="20"/>
                  </w:rPr>
                  <w:t>☐</w:t>
                </w:r>
              </w:sdtContent>
            </w:sdt>
            <w:r>
              <w:rPr>
                <w:rFonts w:cs="Arial" w:ascii="Arial" w:hAnsi="Arial"/>
                <w:bCs/>
                <w:sz w:val="20"/>
                <w:szCs w:val="20"/>
              </w:rPr>
              <w:t xml:space="preserve"> </w:t>
            </w:r>
            <w:r>
              <w:rPr>
                <w:rFonts w:cs="Arial" w:ascii="Arial" w:hAnsi="Arial"/>
                <w:bCs/>
                <w:sz w:val="20"/>
                <w:szCs w:val="20"/>
              </w:rPr>
              <w:t>All sales are invoiced in local currency.</w:t>
            </w:r>
          </w:p>
          <w:p>
            <w:pPr>
              <w:pStyle w:val="Normal"/>
              <w:spacing w:before="0" w:after="0"/>
              <w:ind w:left="245" w:hanging="0"/>
              <w:rPr>
                <w:rFonts w:ascii="Arial" w:hAnsi="Arial" w:cs="Arial"/>
                <w:bCs/>
                <w:sz w:val="20"/>
                <w:szCs w:val="20"/>
              </w:rPr>
            </w:pPr>
            <w:sdt>
              <w:sdtPr>
                <w14:checkbox>
                  <w14:checked w:val=""/>
                  <w14:checkedState w:val=""/>
                  <w14:uncheckedState w:val=""/>
                </w14:checkbox>
              </w:sdtPr>
              <w:sdtContent>
                <w:r>
                  <w:rPr>
                    <w:rFonts w:eastAsia="MS Gothic" w:cs="Arial" w:ascii="MS Gothic" w:hAnsi="MS Gothic"/>
                    <w:bCs/>
                    <w:sz w:val="20"/>
                    <w:szCs w:val="20"/>
                  </w:rPr>
                  <w:t>☐</w:t>
                </w:r>
              </w:sdtContent>
            </w:sdt>
            <w:r>
              <w:rPr>
                <w:rFonts w:cs="Arial" w:ascii="Arial" w:hAnsi="Arial"/>
                <w:bCs/>
                <w:sz w:val="20"/>
                <w:szCs w:val="20"/>
              </w:rPr>
              <w:t xml:space="preserve"> </w:t>
            </w:r>
            <w:r>
              <w:rPr>
                <w:rFonts w:cs="Arial" w:ascii="Arial" w:hAnsi="Arial"/>
                <w:bCs/>
                <w:sz w:val="20"/>
                <w:szCs w:val="20"/>
              </w:rPr>
              <w:t>In prior years no revenue recognition exceptions were noted during our audit.</w:t>
            </w:r>
          </w:p>
          <w:p>
            <w:pPr>
              <w:pStyle w:val="Normal"/>
              <w:spacing w:before="0" w:after="0"/>
              <w:ind w:left="245" w:hanging="0"/>
              <w:rPr>
                <w:rFonts w:ascii="Arial" w:hAnsi="Arial" w:cs="Arial"/>
                <w:b/>
                <w:b/>
                <w:bCs/>
                <w:sz w:val="20"/>
                <w:szCs w:val="20"/>
              </w:rPr>
            </w:pPr>
            <w:sdt>
              <w:sdtPr>
                <w14:checkbox>
                  <w14:checked w:val=""/>
                  <w14:checkedState w:val=""/>
                  <w14:uncheckedState w:val=""/>
                </w14:checkbox>
              </w:sdtPr>
              <w:sdtContent>
                <w:r>
                  <w:rPr>
                    <w:rFonts w:eastAsia="MS Gothic" w:cs="Arial" w:ascii="MS Gothic" w:hAnsi="MS Gothic"/>
                    <w:bCs/>
                    <w:sz w:val="20"/>
                    <w:szCs w:val="20"/>
                  </w:rPr>
                  <w:t>☐</w:t>
                </w:r>
              </w:sdtContent>
            </w:sdt>
            <w:r>
              <w:rPr>
                <w:rFonts w:cs="Arial" w:ascii="Arial" w:hAnsi="Arial"/>
                <w:bCs/>
                <w:sz w:val="20"/>
                <w:szCs w:val="20"/>
              </w:rPr>
              <w:t xml:space="preserve"> </w:t>
            </w:r>
            <w:r>
              <w:rPr>
                <w:rFonts w:cs="Arial" w:ascii="Arial" w:hAnsi="Arial"/>
                <w:bCs/>
                <w:sz w:val="20"/>
                <w:szCs w:val="20"/>
              </w:rPr>
              <w:t>Other (specify)</w:t>
            </w:r>
          </w:p>
        </w:tc>
      </w:tr>
      <w:tr>
        <w:trPr>
          <w:trHeight w:val="1728" w:hRule="atLeast"/>
        </w:trPr>
        <w:tc>
          <w:tcPr>
            <w:tcW w:w="1618" w:type="dxa"/>
            <w:tcBorders/>
            <w:shd w:color="auto" w:fill="B4C6E7" w:themeFill="accent5" w:themeFillTint="66" w:val="clear"/>
          </w:tcPr>
          <w:p>
            <w:pPr>
              <w:pStyle w:val="Normal"/>
              <w:spacing w:lineRule="auto" w:line="240" w:before="0" w:after="0"/>
              <w:rPr>
                <w:rFonts w:ascii="Arial" w:hAnsi="Arial" w:cs="Arial"/>
                <w:b/>
                <w:b/>
                <w:bCs/>
                <w:sz w:val="20"/>
                <w:szCs w:val="20"/>
              </w:rPr>
            </w:pPr>
            <w:r>
              <w:rPr>
                <w:rFonts w:cs="Arial" w:ascii="Arial" w:hAnsi="Arial"/>
                <w:b/>
                <w:bCs/>
                <w:sz w:val="20"/>
                <w:szCs w:val="20"/>
              </w:rPr>
              <w:t>Audit risk name</w:t>
              <w:br/>
              <w:t>including both fraud and error risks</w:t>
            </w:r>
          </w:p>
        </w:tc>
        <w:tc>
          <w:tcPr>
            <w:tcW w:w="1615" w:type="dxa"/>
            <w:tcBorders/>
            <w:shd w:color="auto" w:fill="B4C6E7" w:themeFill="accent5" w:themeFillTint="66" w:val="clear"/>
          </w:tcPr>
          <w:p>
            <w:pPr>
              <w:pStyle w:val="Normal"/>
              <w:spacing w:lineRule="auto" w:line="240" w:before="0" w:after="0"/>
              <w:rPr>
                <w:rFonts w:ascii="Arial" w:hAnsi="Arial" w:cs="Arial"/>
                <w:b/>
                <w:b/>
                <w:bCs/>
                <w:sz w:val="20"/>
                <w:szCs w:val="20"/>
              </w:rPr>
            </w:pPr>
            <w:r>
              <w:rPr>
                <w:rFonts w:cs="Arial" w:ascii="Arial" w:hAnsi="Arial"/>
                <w:b/>
                <w:bCs/>
                <w:sz w:val="20"/>
                <w:szCs w:val="20"/>
              </w:rPr>
              <w:t>Audit risk event/source</w:t>
            </w:r>
          </w:p>
        </w:tc>
        <w:tc>
          <w:tcPr>
            <w:tcW w:w="1622" w:type="dxa"/>
            <w:tcBorders/>
            <w:shd w:color="auto" w:fill="B4C6E7" w:themeFill="accent5" w:themeFillTint="66" w:val="clear"/>
          </w:tcPr>
          <w:p>
            <w:pPr>
              <w:pStyle w:val="Normal"/>
              <w:spacing w:lineRule="auto" w:line="240" w:before="0" w:after="0"/>
              <w:rPr>
                <w:rFonts w:ascii="Arial" w:hAnsi="Arial" w:cs="Arial"/>
                <w:b/>
                <w:b/>
                <w:bCs/>
                <w:sz w:val="20"/>
                <w:szCs w:val="20"/>
              </w:rPr>
            </w:pPr>
            <w:r>
              <w:rPr>
                <w:rFonts w:cs="Arial" w:ascii="Arial" w:hAnsi="Arial"/>
                <w:b/>
                <w:bCs/>
                <w:sz w:val="20"/>
                <w:szCs w:val="20"/>
              </w:rPr>
              <w:t>Nature of misstatement risk</w:t>
            </w:r>
          </w:p>
          <w:p>
            <w:pPr>
              <w:pStyle w:val="Normal"/>
              <w:spacing w:lineRule="auto" w:line="240" w:before="0" w:after="0"/>
              <w:rPr>
                <w:rFonts w:ascii="Arial" w:hAnsi="Arial" w:cs="Arial"/>
                <w:b/>
                <w:b/>
                <w:bCs/>
                <w:sz w:val="20"/>
                <w:szCs w:val="20"/>
              </w:rPr>
            </w:pPr>
            <w:r>
              <w:rPr>
                <w:rFonts w:cs="Arial" w:ascii="Arial" w:hAnsi="Arial"/>
                <w:b/>
                <w:bCs/>
                <w:sz w:val="20"/>
                <w:szCs w:val="20"/>
              </w:rPr>
              <w:t>(for e.g. inherent risk or control risk)</w:t>
            </w:r>
          </w:p>
        </w:tc>
        <w:tc>
          <w:tcPr>
            <w:tcW w:w="1619" w:type="dxa"/>
            <w:tcBorders/>
            <w:shd w:color="auto" w:fill="B4C6E7" w:themeFill="accent5" w:themeFillTint="66" w:val="clear"/>
          </w:tcPr>
          <w:p>
            <w:pPr>
              <w:pStyle w:val="Normal"/>
              <w:spacing w:lineRule="auto" w:line="240" w:before="0" w:after="0"/>
              <w:rPr>
                <w:rFonts w:ascii="Arial" w:hAnsi="Arial" w:cs="Arial"/>
                <w:b/>
                <w:b/>
                <w:bCs/>
                <w:sz w:val="20"/>
                <w:szCs w:val="20"/>
              </w:rPr>
            </w:pPr>
            <w:r>
              <w:rPr>
                <w:rFonts w:cs="Arial" w:ascii="Arial" w:hAnsi="Arial"/>
                <w:b/>
                <w:bCs/>
                <w:sz w:val="20"/>
                <w:szCs w:val="20"/>
              </w:rPr>
              <w:t>Relevant financial statement areas</w:t>
            </w:r>
          </w:p>
          <w:p>
            <w:pPr>
              <w:pStyle w:val="Normal"/>
              <w:spacing w:lineRule="auto" w:line="240" w:before="0" w:after="0"/>
              <w:rPr>
                <w:rFonts w:ascii="Arial" w:hAnsi="Arial" w:cs="Arial"/>
                <w:b/>
                <w:b/>
                <w:bCs/>
                <w:sz w:val="20"/>
                <w:szCs w:val="20"/>
              </w:rPr>
            </w:pPr>
            <w:r>
              <w:rPr>
                <w:rFonts w:cs="Arial" w:ascii="Arial" w:hAnsi="Arial"/>
                <w:b/>
                <w:bCs/>
                <w:sz w:val="20"/>
                <w:szCs w:val="20"/>
              </w:rPr>
            </w:r>
          </w:p>
        </w:tc>
        <w:tc>
          <w:tcPr>
            <w:tcW w:w="1618" w:type="dxa"/>
            <w:tcBorders/>
            <w:shd w:color="auto" w:fill="B4C6E7" w:themeFill="accent5" w:themeFillTint="66" w:val="clear"/>
          </w:tcPr>
          <w:p>
            <w:pPr>
              <w:pStyle w:val="Normal"/>
              <w:spacing w:lineRule="auto" w:line="240" w:before="0" w:after="0"/>
              <w:rPr>
                <w:rFonts w:ascii="Arial" w:hAnsi="Arial" w:cs="Arial"/>
                <w:b/>
                <w:b/>
                <w:bCs/>
                <w:sz w:val="20"/>
                <w:szCs w:val="20"/>
              </w:rPr>
            </w:pPr>
            <w:r>
              <w:rPr>
                <w:rFonts w:cs="Arial" w:ascii="Arial" w:hAnsi="Arial"/>
                <w:b/>
                <w:bCs/>
                <w:sz w:val="20"/>
                <w:szCs w:val="20"/>
              </w:rPr>
              <w:t>Relevant assertions</w:t>
              <w:br/>
              <w:t>(O,C,A,T,L,E,R,V,K,U or ALL)</w:t>
            </w:r>
          </w:p>
        </w:tc>
        <w:tc>
          <w:tcPr>
            <w:tcW w:w="1619" w:type="dxa"/>
            <w:tcBorders/>
            <w:shd w:color="auto" w:fill="B4C6E7" w:themeFill="accent5" w:themeFillTint="66" w:val="clear"/>
          </w:tcPr>
          <w:p>
            <w:pPr>
              <w:pStyle w:val="Normal"/>
              <w:spacing w:lineRule="auto" w:line="240" w:before="0" w:after="0"/>
              <w:rPr>
                <w:rFonts w:ascii="Arial" w:hAnsi="Arial" w:cs="Arial"/>
                <w:b/>
                <w:b/>
                <w:bCs/>
                <w:sz w:val="20"/>
                <w:szCs w:val="20"/>
              </w:rPr>
            </w:pPr>
            <w:r>
              <w:rPr>
                <w:rFonts w:cs="Arial" w:ascii="Arial" w:hAnsi="Arial"/>
                <w:b/>
                <w:bCs/>
                <w:sz w:val="20"/>
                <w:szCs w:val="20"/>
              </w:rPr>
              <w:t>Likelihood of misstatement risk</w:t>
            </w:r>
          </w:p>
          <w:p>
            <w:pPr>
              <w:pStyle w:val="Normal"/>
              <w:spacing w:lineRule="auto" w:line="240" w:before="0" w:after="0"/>
              <w:rPr>
                <w:rFonts w:ascii="Arial" w:hAnsi="Arial" w:cs="Arial"/>
                <w:b/>
                <w:b/>
                <w:bCs/>
                <w:sz w:val="20"/>
                <w:szCs w:val="20"/>
              </w:rPr>
            </w:pPr>
            <w:r>
              <w:rPr>
                <w:rFonts w:cs="Arial" w:ascii="Arial" w:hAnsi="Arial"/>
                <w:b/>
                <w:bCs/>
                <w:sz w:val="20"/>
                <w:szCs w:val="20"/>
              </w:rPr>
              <w:t>(High, Moderate, Low)</w:t>
            </w:r>
          </w:p>
        </w:tc>
        <w:tc>
          <w:tcPr>
            <w:tcW w:w="1620" w:type="dxa"/>
            <w:tcBorders/>
            <w:shd w:color="auto" w:fill="B4C6E7" w:themeFill="accent5" w:themeFillTint="66" w:val="clear"/>
          </w:tcPr>
          <w:p>
            <w:pPr>
              <w:pStyle w:val="Normal"/>
              <w:spacing w:lineRule="auto" w:line="240" w:before="0" w:after="0"/>
              <w:rPr>
                <w:rFonts w:ascii="Arial" w:hAnsi="Arial" w:cs="Arial"/>
                <w:b/>
                <w:b/>
                <w:bCs/>
                <w:sz w:val="20"/>
                <w:szCs w:val="20"/>
              </w:rPr>
            </w:pPr>
            <w:r>
              <w:rPr>
                <w:rFonts w:cs="Arial" w:ascii="Arial" w:hAnsi="Arial"/>
                <w:b/>
                <w:bCs/>
                <w:sz w:val="20"/>
                <w:szCs w:val="20"/>
              </w:rPr>
              <w:t>Magnitude of misstatement risk</w:t>
            </w:r>
          </w:p>
          <w:p>
            <w:pPr>
              <w:pStyle w:val="Normal"/>
              <w:spacing w:lineRule="auto" w:line="240" w:before="0" w:after="0"/>
              <w:rPr>
                <w:rFonts w:ascii="Arial" w:hAnsi="Arial" w:cs="Arial"/>
                <w:b/>
                <w:b/>
                <w:bCs/>
                <w:sz w:val="20"/>
                <w:szCs w:val="20"/>
              </w:rPr>
            </w:pPr>
            <w:r>
              <w:rPr>
                <w:rFonts w:cs="Arial" w:ascii="Arial" w:hAnsi="Arial"/>
                <w:b/>
                <w:bCs/>
                <w:sz w:val="20"/>
                <w:szCs w:val="20"/>
              </w:rPr>
              <w:t>(High, Moderate, Low)</w:t>
            </w:r>
          </w:p>
        </w:tc>
        <w:tc>
          <w:tcPr>
            <w:tcW w:w="1616" w:type="dxa"/>
            <w:tcBorders/>
            <w:shd w:color="auto" w:fill="B4C6E7" w:themeFill="accent5" w:themeFillTint="66" w:val="clear"/>
          </w:tcPr>
          <w:p>
            <w:pPr>
              <w:pStyle w:val="Normal"/>
              <w:spacing w:lineRule="auto" w:line="240" w:before="0" w:after="0"/>
              <w:rPr>
                <w:rFonts w:ascii="Arial" w:hAnsi="Arial" w:cs="Arial"/>
                <w:b/>
                <w:b/>
                <w:bCs/>
                <w:sz w:val="20"/>
                <w:szCs w:val="20"/>
              </w:rPr>
            </w:pPr>
            <w:r>
              <w:rPr>
                <w:rFonts w:cs="Arial" w:ascii="Arial" w:hAnsi="Arial"/>
                <w:b/>
                <w:bCs/>
                <w:sz w:val="20"/>
                <w:szCs w:val="20"/>
              </w:rPr>
              <w:t>Is it a significant risk and if no then why not?</w:t>
            </w:r>
          </w:p>
        </w:tc>
      </w:tr>
      <w:tr>
        <w:trPr>
          <w:trHeight w:val="720" w:hRule="atLeast"/>
        </w:trPr>
        <w:tc>
          <w:tcPr>
            <w:tcW w:w="1618"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t>[text]</w:t>
            </w:r>
          </w:p>
        </w:tc>
        <w:tc>
          <w:tcPr>
            <w:tcW w:w="1615"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t>[text]</w:t>
            </w:r>
          </w:p>
        </w:tc>
        <w:tc>
          <w:tcPr>
            <w:tcW w:w="1622"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t>[text]</w:t>
            </w:r>
          </w:p>
        </w:tc>
        <w:tc>
          <w:tcPr>
            <w:tcW w:w="1619"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t>[text]</w:t>
            </w:r>
          </w:p>
        </w:tc>
        <w:tc>
          <w:tcPr>
            <w:tcW w:w="1618"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t>[text]</w:t>
            </w:r>
          </w:p>
        </w:tc>
        <w:tc>
          <w:tcPr>
            <w:tcW w:w="1619"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t>[text]</w:t>
            </w:r>
          </w:p>
        </w:tc>
        <w:tc>
          <w:tcPr>
            <w:tcW w:w="1620"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t>[text]</w:t>
            </w:r>
          </w:p>
        </w:tc>
        <w:tc>
          <w:tcPr>
            <w:tcW w:w="1616"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t>[text]</w:t>
            </w:r>
          </w:p>
        </w:tc>
      </w:tr>
    </w:tbl>
    <w:p>
      <w:pPr>
        <w:pStyle w:val="Normal"/>
        <w:spacing w:lineRule="auto" w:line="240" w:before="240" w:after="160"/>
        <w:rPr>
          <w:rFonts w:ascii="Arial" w:hAnsi="Arial" w:cs="Arial"/>
          <w:sz w:val="20"/>
          <w:szCs w:val="20"/>
        </w:rPr>
      </w:pPr>
      <w:r>
        <w:rPr>
          <w:rFonts w:cs="Arial" w:ascii="Arial" w:hAnsi="Arial"/>
          <w:sz w:val="20"/>
          <w:szCs w:val="2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4315"/>
        <w:gridCol w:w="4321"/>
        <w:gridCol w:w="4324"/>
      </w:tblGrid>
      <w:tr>
        <w:trPr>
          <w:trHeight w:val="288" w:hRule="atLeast"/>
        </w:trPr>
        <w:tc>
          <w:tcPr>
            <w:tcW w:w="12960" w:type="dxa"/>
            <w:gridSpan w:val="3"/>
            <w:tcBorders/>
            <w:shd w:color="auto" w:fill="8EAADB" w:themeFill="accent5" w:themeFillTint="99" w:val="clear"/>
          </w:tcPr>
          <w:p>
            <w:pPr>
              <w:pStyle w:val="Normal"/>
              <w:spacing w:lineRule="auto" w:line="240" w:before="240" w:after="0"/>
              <w:rPr>
                <w:rFonts w:ascii="Arial" w:hAnsi="Arial" w:cs="Arial"/>
                <w:b/>
                <w:b/>
                <w:bCs/>
                <w:sz w:val="20"/>
                <w:szCs w:val="20"/>
              </w:rPr>
            </w:pPr>
            <w:r>
              <w:rPr>
                <w:rFonts w:cs="Arial" w:ascii="Arial" w:hAnsi="Arial"/>
                <w:b/>
                <w:bCs/>
                <w:sz w:val="20"/>
                <w:szCs w:val="20"/>
              </w:rPr>
              <w:t xml:space="preserve">Significant Risks </w:t>
            </w:r>
          </w:p>
        </w:tc>
      </w:tr>
      <w:tr>
        <w:trPr>
          <w:trHeight w:val="288" w:hRule="atLeast"/>
        </w:trPr>
        <w:tc>
          <w:tcPr>
            <w:tcW w:w="4315" w:type="dxa"/>
            <w:tcBorders/>
            <w:shd w:color="auto" w:fill="B4C6E7" w:themeFill="accent5" w:themeFillTint="66" w:val="clear"/>
          </w:tcPr>
          <w:p>
            <w:pPr>
              <w:pStyle w:val="Normal"/>
              <w:spacing w:lineRule="auto" w:line="240" w:before="0" w:after="0"/>
              <w:rPr>
                <w:rFonts w:ascii="Arial" w:hAnsi="Arial" w:cs="Arial"/>
                <w:b/>
                <w:b/>
                <w:bCs/>
                <w:sz w:val="20"/>
                <w:szCs w:val="20"/>
              </w:rPr>
            </w:pPr>
            <w:r>
              <w:rPr>
                <w:rFonts w:cs="Arial" w:ascii="Arial" w:hAnsi="Arial"/>
                <w:b/>
                <w:bCs/>
                <w:sz w:val="20"/>
                <w:szCs w:val="20"/>
              </w:rPr>
              <w:t>Risk Description</w:t>
            </w:r>
          </w:p>
        </w:tc>
        <w:tc>
          <w:tcPr>
            <w:tcW w:w="4321" w:type="dxa"/>
            <w:tcBorders/>
            <w:shd w:color="auto" w:fill="B4C6E7" w:themeFill="accent5" w:themeFillTint="66" w:val="clear"/>
          </w:tcPr>
          <w:p>
            <w:pPr>
              <w:pStyle w:val="Normal"/>
              <w:spacing w:lineRule="auto" w:line="240" w:before="0" w:after="0"/>
              <w:rPr>
                <w:rFonts w:ascii="Arial" w:hAnsi="Arial" w:cs="Arial"/>
                <w:b/>
                <w:b/>
                <w:bCs/>
                <w:sz w:val="20"/>
                <w:szCs w:val="20"/>
              </w:rPr>
            </w:pPr>
            <w:r>
              <w:rPr>
                <w:rFonts w:cs="Arial" w:ascii="Arial" w:hAnsi="Arial"/>
                <w:b/>
                <w:bCs/>
                <w:sz w:val="20"/>
                <w:szCs w:val="20"/>
              </w:rPr>
              <w:t>Management’s Response</w:t>
            </w:r>
          </w:p>
        </w:tc>
        <w:tc>
          <w:tcPr>
            <w:tcW w:w="4324" w:type="dxa"/>
            <w:tcBorders/>
            <w:shd w:color="auto" w:fill="B4C6E7" w:themeFill="accent5" w:themeFillTint="66" w:val="clear"/>
          </w:tcPr>
          <w:p>
            <w:pPr>
              <w:pStyle w:val="Normal"/>
              <w:spacing w:lineRule="auto" w:line="240" w:before="0" w:after="0"/>
              <w:rPr>
                <w:rFonts w:ascii="Arial" w:hAnsi="Arial" w:cs="Arial"/>
                <w:b/>
                <w:b/>
                <w:bCs/>
                <w:sz w:val="20"/>
                <w:szCs w:val="20"/>
              </w:rPr>
            </w:pPr>
            <w:r>
              <w:rPr>
                <w:rFonts w:cs="Arial" w:ascii="Arial" w:hAnsi="Arial"/>
                <w:b/>
                <w:bCs/>
                <w:sz w:val="20"/>
                <w:szCs w:val="20"/>
              </w:rPr>
              <w:t>Audit Response</w:t>
            </w:r>
          </w:p>
          <w:p>
            <w:pPr>
              <w:pStyle w:val="Normal"/>
              <w:spacing w:lineRule="auto" w:line="240" w:before="0" w:after="0"/>
              <w:rPr>
                <w:rFonts w:ascii="Arial" w:hAnsi="Arial" w:cs="Arial"/>
                <w:b/>
                <w:b/>
                <w:bCs/>
                <w:sz w:val="20"/>
                <w:szCs w:val="20"/>
              </w:rPr>
            </w:pPr>
            <w:r>
              <w:rPr>
                <w:rFonts w:cs="Arial" w:ascii="Arial" w:hAnsi="Arial"/>
                <w:b/>
                <w:bCs/>
                <w:sz w:val="20"/>
                <w:szCs w:val="20"/>
              </w:rPr>
            </w:r>
          </w:p>
          <w:p>
            <w:pPr>
              <w:pStyle w:val="Normal"/>
              <w:spacing w:lineRule="auto" w:line="240" w:before="0" w:after="0"/>
              <w:rPr>
                <w:rFonts w:ascii="Arial" w:hAnsi="Arial" w:cs="Arial"/>
                <w:b/>
                <w:b/>
                <w:bCs/>
                <w:sz w:val="20"/>
                <w:szCs w:val="20"/>
              </w:rPr>
            </w:pPr>
            <w:r>
              <w:rPr>
                <w:rFonts w:cs="Arial" w:ascii="Arial" w:hAnsi="Arial"/>
                <w:b/>
                <w:bCs/>
                <w:sz w:val="20"/>
                <w:szCs w:val="20"/>
              </w:rPr>
              <w:t>(Reference to audit program of relevant financial statement area)</w:t>
            </w:r>
          </w:p>
        </w:tc>
      </w:tr>
      <w:tr>
        <w:trPr>
          <w:trHeight w:val="720" w:hRule="atLeast"/>
        </w:trPr>
        <w:tc>
          <w:tcPr>
            <w:tcW w:w="4315"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t>[text]</w:t>
            </w:r>
          </w:p>
          <w:p>
            <w:pPr>
              <w:pStyle w:val="Normal"/>
              <w:spacing w:lineRule="auto" w:line="240" w:before="0" w:after="0"/>
              <w:rPr>
                <w:rFonts w:ascii="Arial" w:hAnsi="Arial" w:cs="Arial"/>
                <w:sz w:val="20"/>
                <w:szCs w:val="20"/>
              </w:rPr>
            </w:pPr>
            <w:r>
              <w:rPr>
                <w:rFonts w:cs="Arial" w:ascii="Arial" w:hAnsi="Arial"/>
                <w:sz w:val="20"/>
                <w:szCs w:val="20"/>
              </w:rPr>
            </w:r>
          </w:p>
        </w:tc>
        <w:tc>
          <w:tcPr>
            <w:tcW w:w="4321"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t>[text]</w:t>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rPr>
            </w:pPr>
            <w:r>
              <w:rPr>
                <w:rFonts w:cs="Arial" w:ascii="Arial" w:hAnsi="Arial"/>
                <w:sz w:val="20"/>
                <w:szCs w:val="20"/>
              </w:rPr>
            </w:r>
          </w:p>
        </w:tc>
        <w:tc>
          <w:tcPr>
            <w:tcW w:w="4324"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t>[text]</w:t>
            </w:r>
          </w:p>
          <w:p>
            <w:pPr>
              <w:pStyle w:val="Normal"/>
              <w:spacing w:lineRule="auto" w:line="240" w:before="0" w:after="0"/>
              <w:rPr>
                <w:rFonts w:ascii="Arial" w:hAnsi="Arial" w:cs="Arial"/>
                <w:sz w:val="20"/>
                <w:szCs w:val="20"/>
              </w:rPr>
            </w:pPr>
            <w:r>
              <w:rPr>
                <w:rFonts w:cs="Arial" w:ascii="Arial" w:hAnsi="Arial"/>
                <w:sz w:val="20"/>
                <w:szCs w:val="20"/>
              </w:rPr>
            </w:r>
          </w:p>
        </w:tc>
      </w:tr>
    </w:tbl>
    <w:p>
      <w:pPr>
        <w:pStyle w:val="Normal"/>
        <w:spacing w:lineRule="auto" w:line="240" w:before="240" w:after="160"/>
        <w:rPr/>
      </w:pPr>
      <w:r>
        <w:rPr/>
      </w:r>
    </w:p>
    <w:sectPr>
      <w:headerReference w:type="default" r:id="rId2"/>
      <w:footerReference w:type="default" r:id="rId3"/>
      <w:type w:val="nextPage"/>
      <w:pgSz w:orient="landscape" w:w="15840" w:h="122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roman"/>
    <w:pitch w:val="variable"/>
  </w:font>
  <w:font w:name="Wingdings 2">
    <w:charset w:val="01"/>
    <w:family w:val="roman"/>
    <w:pitch w:val="variable"/>
  </w:font>
  <w:font w:name="MS Gothic">
    <w:charset w:val="01"/>
    <w:family w:val="roman"/>
    <w:pitch w:val="variable"/>
  </w:font>
  <w:font w:name="Times New Roman">
    <w:charset w:val="01"/>
    <w:family w:val="auto"/>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56197955"/>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5</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6" wp14:anchorId="1699B376">
              <wp:simplePos x="0" y="0"/>
              <wp:positionH relativeFrom="margin">
                <wp:align>left</wp:align>
              </wp:positionH>
              <wp:positionV relativeFrom="paragraph">
                <wp:posOffset>-349250</wp:posOffset>
              </wp:positionV>
              <wp:extent cx="8230235" cy="706120"/>
              <wp:effectExtent l="0" t="0" r="635" b="0"/>
              <wp:wrapNone/>
              <wp:docPr id="1" name="Group 5"/>
              <a:graphic xmlns:a="http://schemas.openxmlformats.org/drawingml/2006/main">
                <a:graphicData uri="http://schemas.microsoft.com/office/word/2010/wordprocessingGroup">
                  <wpg:wgp>
                    <wpg:cNvGrpSpPr/>
                    <wpg:grpSpPr>
                      <a:xfrm>
                        <a:off x="0" y="0"/>
                        <a:ext cx="8229600" cy="705600"/>
                      </a:xfrm>
                    </wpg:grpSpPr>
                    <wps:wsp>
                      <wps:cNvSpPr/>
                      <wps:spPr>
                        <a:xfrm>
                          <a:off x="0" y="0"/>
                          <a:ext cx="4752360" cy="70560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heme="minorHAnsi" w:cstheme="minorBidi" w:eastAsiaTheme="minorHAnsi" w:hAnsiTheme="minorHAnsi" w:ascii="Times New Roman" w:hAnsi="Times New Roman"/>
                                <w:color w:val="000000"/>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heme="minorHAnsi" w:cstheme="minorBidi" w:eastAsiaTheme="minorHAnsi" w:hAnsiTheme="minorHAnsi" w:ascii="Times New Roman" w:hAnsi="Times New Roman"/>
                                <w:color w:val="000000"/>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wps:txbx>
                      <wps:bodyPr lIns="90000" rIns="90000" tIns="45000" bIns="45000" anchor="ctr">
                        <a:noAutofit/>
                      </wps:bodyPr>
                    </wps:wsp>
                    <pic:pic xmlns:pic="http://schemas.openxmlformats.org/drawingml/2006/picture">
                      <pic:nvPicPr>
                        <pic:cNvPr id="0" name="Picture 3" descr=""/>
                        <pic:cNvPicPr/>
                      </pic:nvPicPr>
                      <pic:blipFill>
                        <a:blip r:embed="rId1"/>
                        <a:srcRect l="5759" t="28463" r="5649" b="28450"/>
                        <a:stretch/>
                      </pic:blipFill>
                      <pic:spPr>
                        <a:xfrm>
                          <a:off x="6905520" y="71280"/>
                          <a:ext cx="1324080" cy="519480"/>
                        </a:xfrm>
                        <a:prstGeom prst="rect">
                          <a:avLst/>
                        </a:prstGeom>
                        <a:ln>
                          <a:noFill/>
                        </a:ln>
                      </pic:spPr>
                    </pic:pic>
                  </wpg:wgp>
                </a:graphicData>
              </a:graphic>
            </wp:anchor>
          </w:drawing>
        </mc:Choice>
        <mc:Fallback>
          <w:pict>
            <v:group id="shape_0" alt="Group 5" style="position:absolute;margin-left:9pt;margin-top:-27.5pt;width:648pt;height:55.55pt" coordorigin="180,-550" coordsize="12960,1111">
              <v:rect id="shape_0" fillcolor="white" stroked="f" style="position:absolute;left:180;top:-550;width:7483;height:1110;mso-position-horizontal:left;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heme="minorHAnsi" w:cstheme="minorBidi" w:eastAsiaTheme="minorHAnsi" w:hAnsiTheme="minorHAnsi" w:ascii="Times New Roman" w:hAnsi="Times New Roman"/>
                          <w:color w:val="000000"/>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heme="minorHAnsi" w:cstheme="minorBidi" w:eastAsiaTheme="minorHAnsi" w:hAnsiTheme="minorHAnsi" w:ascii="Times New Roman" w:hAnsi="Times New Roman"/>
                          <w:color w:val="000000"/>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v:textbox>
                <w10:wrap type="square"/>
                <v:fill o:detectmouseclick="t" type="solid" color2="black"/>
                <v:stroke color="#3465a4" weight="9360"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11055;top:-438;width:2084;height:817;mso-position-horizontal:left;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85eda"/>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4e28fd"/>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443559"/>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0c2b42"/>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443559"/>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Internet Link"/>
    <w:basedOn w:val="DefaultParagraphFont"/>
    <w:uiPriority w:val="99"/>
    <w:unhideWhenUsed/>
    <w:rsid w:val="00443559"/>
    <w:rPr>
      <w:color w:val="0563C1" w:themeColor="hyperlink"/>
      <w:u w:val="single"/>
    </w:rPr>
  </w:style>
  <w:style w:type="character" w:styleId="FollowedHyperlink">
    <w:name w:val="FollowedHyperlink"/>
    <w:basedOn w:val="DefaultParagraphFont"/>
    <w:uiPriority w:val="99"/>
    <w:semiHidden/>
    <w:unhideWhenUsed/>
    <w:qFormat/>
    <w:rsid w:val="00443559"/>
    <w:rPr>
      <w:color w:val="954F72" w:themeColor="followedHyperlink"/>
      <w:u w:val="single"/>
    </w:rPr>
  </w:style>
  <w:style w:type="character" w:styleId="HeaderChar" w:customStyle="1">
    <w:name w:val="Header Char"/>
    <w:basedOn w:val="DefaultParagraphFont"/>
    <w:link w:val="Header"/>
    <w:uiPriority w:val="99"/>
    <w:qFormat/>
    <w:rsid w:val="00ed5800"/>
    <w:rPr/>
  </w:style>
  <w:style w:type="character" w:styleId="FooterChar" w:customStyle="1">
    <w:name w:val="Footer Char"/>
    <w:basedOn w:val="DefaultParagraphFont"/>
    <w:link w:val="Footer"/>
    <w:uiPriority w:val="99"/>
    <w:qFormat/>
    <w:rsid w:val="00ed5800"/>
    <w:rPr/>
  </w:style>
  <w:style w:type="character" w:styleId="BalloonTextChar" w:customStyle="1">
    <w:name w:val="Balloon Text Char"/>
    <w:basedOn w:val="DefaultParagraphFont"/>
    <w:link w:val="BalloonText"/>
    <w:uiPriority w:val="99"/>
    <w:semiHidden/>
    <w:qFormat/>
    <w:rsid w:val="000c2b42"/>
    <w:rPr>
      <w:rFonts w:ascii="Segoe UI" w:hAnsi="Segoe UI" w:cs="Segoe UI"/>
      <w:sz w:val="18"/>
      <w:szCs w:val="18"/>
    </w:rPr>
  </w:style>
  <w:style w:type="character" w:styleId="Heading3Char" w:customStyle="1">
    <w:name w:val="Heading 3 Char"/>
    <w:basedOn w:val="DefaultParagraphFont"/>
    <w:link w:val="Heading3"/>
    <w:uiPriority w:val="9"/>
    <w:qFormat/>
    <w:rsid w:val="000c2b42"/>
    <w:rPr>
      <w:rFonts w:ascii="Calibri Light" w:hAnsi="Calibri Light" w:eastAsia="" w:cs="" w:asciiTheme="majorHAnsi" w:cstheme="majorBidi" w:eastAsiaTheme="majorEastAsia" w:hAnsiTheme="majorHAnsi"/>
      <w:color w:val="1F4D78" w:themeColor="accent1" w:themeShade="7f"/>
      <w:sz w:val="24"/>
      <w:szCs w:val="24"/>
    </w:rPr>
  </w:style>
  <w:style w:type="character" w:styleId="Heading1Char" w:customStyle="1">
    <w:name w:val="Heading 1 Char"/>
    <w:basedOn w:val="DefaultParagraphFont"/>
    <w:link w:val="Heading1"/>
    <w:uiPriority w:val="9"/>
    <w:qFormat/>
    <w:rsid w:val="004e28fd"/>
    <w:rPr>
      <w:rFonts w:ascii="Calibri Light" w:hAnsi="Calibri Light" w:eastAsia="" w:cs="" w:asciiTheme="majorHAnsi" w:cstheme="majorBidi" w:eastAsiaTheme="majorEastAsia" w:hAnsiTheme="majorHAnsi"/>
      <w:color w:val="2E74B5" w:themeColor="accent1" w:themeShade="bf"/>
      <w:sz w:val="32"/>
      <w:szCs w:val="3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 w:cs=""/>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ascii="Arial" w:hAnsi="Arial" w:cs="Symbol"/>
      <w:sz w:val="20"/>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Arial" w:hAnsi="Arial" w:cs="Symbol"/>
      <w:sz w:val="20"/>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Arial" w:hAnsi="Arial" w:cs="Symbol"/>
      <w:sz w:val="20"/>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5615e"/>
    <w:pPr>
      <w:spacing w:lineRule="auto" w:line="252" w:before="0" w:after="160"/>
      <w:ind w:left="720" w:hanging="0"/>
      <w:contextualSpacing/>
    </w:pPr>
    <w:rPr/>
  </w:style>
  <w:style w:type="paragraph" w:styleId="Header">
    <w:name w:val="Header"/>
    <w:basedOn w:val="Normal"/>
    <w:link w:val="HeaderChar"/>
    <w:uiPriority w:val="99"/>
    <w:unhideWhenUsed/>
    <w:rsid w:val="00ed580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d5800"/>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0c2b42"/>
    <w:pPr>
      <w:spacing w:lineRule="auto" w:line="240" w:before="0" w:after="0"/>
    </w:pPr>
    <w:rPr>
      <w:rFonts w:ascii="Segoe UI" w:hAnsi="Segoe UI" w:cs="Segoe UI"/>
      <w:sz w:val="18"/>
      <w:szCs w:val="18"/>
    </w:rPr>
  </w:style>
  <w:style w:type="paragraph" w:styleId="TableBulletArial" w:customStyle="1">
    <w:name w:val="Table Bullet_Arial"/>
    <w:basedOn w:val="Normal"/>
    <w:uiPriority w:val="99"/>
    <w:qFormat/>
    <w:rsid w:val="0024138b"/>
    <w:pPr>
      <w:spacing w:lineRule="auto" w:line="240" w:before="60" w:after="60"/>
    </w:pPr>
    <w:rPr>
      <w:rFonts w:ascii="Arial" w:hAnsi="Arial" w:eastAsia="Times New Roman" w:cs="Arial"/>
      <w:color w:val="000000" w:themeColor="text1"/>
      <w:sz w:val="20"/>
      <w:szCs w:val="21"/>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85ed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TotalTime>
  <Application>LibreOffice/6.1.5.2$Linux_X86_64 LibreOffice_project/10$Build-2</Application>
  <Pages>5</Pages>
  <Words>1654</Words>
  <Characters>9366</Characters>
  <CharactersWithSpaces>10872</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2022-06-26T20:12:00Z</dcterms:created>
  <dc:creator>Maham Moin</dc:creator>
  <dc:description/>
  <dc:language>en-US</dc:language>
  <cp:lastModifiedBy/>
  <dcterms:modified xsi:type="dcterms:W3CDTF">2022-09-21T15:51:05Z</dcterms:modified>
  <cp:revision>83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