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5000" w:type="pct"/>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2406"/>
        <w:gridCol w:w="3477"/>
        <w:gridCol w:w="3477"/>
      </w:tblGrid>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rPr>
                <w:rFonts w:ascii="Arial" w:hAnsi="Arial" w:eastAsia="Calibri" w:cs="Arial"/>
                <w:b/>
                <w:b/>
                <w:bCs/>
                <w:sz w:val="20"/>
                <w:szCs w:val="20"/>
              </w:rPr>
            </w:pPr>
            <w:r>
              <w:rPr>
                <w:rFonts w:eastAsia="Calibri" w:cs="Arial" w:ascii="Arial" w:hAnsi="Arial"/>
                <w:b/>
                <w:bCs/>
                <w:sz w:val="20"/>
                <w:szCs w:val="20"/>
              </w:rPr>
              <w:t>Client:</w:t>
            </w:r>
          </w:p>
        </w:tc>
        <w:tc>
          <w:tcPr>
            <w:tcW w:w="695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52" w:before="0" w:after="160"/>
              <w:rPr/>
            </w:pPr>
            <w:bookmarkStart w:id="0" w:name="__DdeLink__18962_3283385913"/>
            <w:r>
              <w:rPr>
                <w:rFonts w:eastAsia="Calibri" w:cs="Arial" w:ascii="Arial" w:hAnsi="Arial"/>
                <w:b/>
                <w:bCs/>
                <w:sz w:val="20"/>
                <w:szCs w:val="20"/>
              </w:rPr>
              <w:t>$</w:t>
            </w:r>
            <w:bookmarkEnd w:id="0"/>
            <w:r>
              <w:rPr>
                <w:rFonts w:eastAsia="Calibri" w:cs="Arial" w:ascii="Arial" w:hAnsi="Arial"/>
                <w:b/>
                <w:bCs/>
                <w:sz w:val="20"/>
                <w:szCs w:val="20"/>
              </w:rPr>
              <w:t>{client}</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rPr>
                <w:rFonts w:ascii="Arial" w:hAnsi="Arial" w:eastAsia="Calibri" w:cs="Arial"/>
                <w:b/>
                <w:b/>
                <w:bCs/>
                <w:sz w:val="20"/>
                <w:szCs w:val="20"/>
              </w:rPr>
            </w:pPr>
            <w:r>
              <w:rPr>
                <w:rFonts w:eastAsia="Calibri" w:cs="Arial" w:ascii="Arial" w:hAnsi="Arial"/>
                <w:b/>
                <w:bCs/>
                <w:sz w:val="20"/>
                <w:szCs w:val="20"/>
              </w:rPr>
              <w:t>Period end date:</w:t>
            </w:r>
          </w:p>
        </w:tc>
        <w:tc>
          <w:tcPr>
            <w:tcW w:w="695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160"/>
              <w:rPr/>
            </w:pPr>
            <w:r>
              <w:rPr>
                <w:rFonts w:eastAsia="Calibri" w:cs="Arial" w:ascii="Arial" w:hAnsi="Arial"/>
                <w:b/>
                <w:bCs/>
                <w:sz w:val="20"/>
                <w:szCs w:val="20"/>
              </w:rPr>
              <w:t>$</w:t>
            </w:r>
            <w:r>
              <w:rPr>
                <w:rFonts w:eastAsia="Calibri" w:cs="Arial" w:ascii="Arial" w:hAnsi="Arial"/>
                <w:b/>
                <w:bCs/>
                <w:sz w:val="20"/>
                <w:szCs w:val="20"/>
              </w:rPr>
              <w:t>{</w:t>
            </w:r>
            <w:r>
              <w:rPr>
                <w:rFonts w:eastAsia="Calibri" w:cs="Arial" w:ascii="Arial" w:hAnsi="Arial"/>
                <w:b/>
                <w:bCs/>
                <w:sz w:val="20"/>
                <w:szCs w:val="20"/>
              </w:rPr>
              <w:t>start</w:t>
            </w:r>
            <w:r>
              <w:rPr>
                <w:rFonts w:eastAsia="Calibri" w:cs="Arial" w:ascii="Arial" w:hAnsi="Arial"/>
                <w:b/>
                <w:bCs/>
                <w:sz w:val="20"/>
                <w:szCs w:val="20"/>
              </w:rPr>
              <w:t xml:space="preserve">} </w:t>
            </w:r>
            <w:r>
              <w:rPr>
                <w:rFonts w:eastAsia="Calibri" w:cs="Arial" w:ascii="Arial" w:hAnsi="Arial"/>
                <w:b/>
                <w:bCs/>
                <w:sz w:val="20"/>
                <w:szCs w:val="20"/>
              </w:rPr>
              <w:t>- $</w:t>
            </w:r>
            <w:r>
              <w:rPr>
                <w:rFonts w:eastAsia="Calibri" w:cs="Arial" w:ascii="Arial" w:hAnsi="Arial"/>
                <w:b/>
                <w:bCs/>
                <w:sz w:val="20"/>
                <w:szCs w:val="20"/>
              </w:rPr>
              <w:t>{</w:t>
            </w:r>
            <w:r>
              <w:rPr>
                <w:rFonts w:eastAsia="Calibri" w:cs="Arial" w:ascii="Arial" w:hAnsi="Arial"/>
                <w:b/>
                <w:bCs/>
                <w:sz w:val="20"/>
                <w:szCs w:val="20"/>
              </w:rPr>
              <w:t>end</w:t>
            </w:r>
            <w:r>
              <w:rPr>
                <w:rFonts w:eastAsia="Calibri" w:cs="Arial" w:ascii="Arial" w:hAnsi="Arial"/>
                <w:b/>
                <w:bCs/>
                <w:sz w:val="20"/>
                <w:szCs w:val="20"/>
              </w:rPr>
              <w:t>}</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rPr>
                <w:rFonts w:ascii="Arial" w:hAnsi="Arial" w:eastAsia="Calibri" w:cs="Arial"/>
                <w:b/>
                <w:b/>
                <w:bCs/>
                <w:sz w:val="20"/>
                <w:szCs w:val="20"/>
              </w:rPr>
            </w:pPr>
            <w:r>
              <w:rPr>
                <w:rFonts w:eastAsia="Calibri" w:cs="Arial" w:ascii="Arial" w:hAnsi="Arial"/>
                <w:b/>
                <w:bCs/>
                <w:sz w:val="20"/>
                <w:szCs w:val="20"/>
              </w:rPr>
              <w:t>EGA title:</w:t>
            </w:r>
          </w:p>
        </w:tc>
        <w:tc>
          <w:tcPr>
            <w:tcW w:w="695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rPr>
                <w:rFonts w:ascii="Arial" w:hAnsi="Arial" w:eastAsia="Calibri" w:cs="Arial"/>
                <w:sz w:val="20"/>
                <w:szCs w:val="20"/>
              </w:rPr>
            </w:pPr>
            <w:r>
              <w:rPr>
                <w:rFonts w:eastAsia="Calibri" w:cs="Arial" w:ascii="Arial" w:hAnsi="Arial"/>
                <w:sz w:val="20"/>
                <w:szCs w:val="20"/>
              </w:rPr>
              <w:t>*Risk Assessment</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rPr>
                <w:rFonts w:ascii="Arial" w:hAnsi="Arial" w:eastAsia="Calibri" w:cs="Arial"/>
                <w:b/>
                <w:b/>
                <w:bCs/>
                <w:sz w:val="20"/>
                <w:szCs w:val="20"/>
              </w:rPr>
            </w:pPr>
            <w:r>
              <w:rPr>
                <w:rFonts w:eastAsia="Calibri" w:cs="Arial" w:ascii="Arial" w:hAnsi="Arial"/>
                <w:b/>
                <w:bCs/>
                <w:sz w:val="20"/>
                <w:szCs w:val="20"/>
              </w:rPr>
              <w:t>Ref. no.:</w:t>
            </w:r>
          </w:p>
        </w:tc>
        <w:tc>
          <w:tcPr>
            <w:tcW w:w="695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160"/>
              <w:rPr>
                <w:rFonts w:ascii="Arial" w:hAnsi="Arial" w:eastAsia="Calibri" w:cs="Arial"/>
                <w:b/>
                <w:b/>
                <w:bCs/>
                <w:sz w:val="20"/>
                <w:szCs w:val="20"/>
              </w:rPr>
            </w:pPr>
            <w:r>
              <w:rPr>
                <w:rFonts w:eastAsia="Calibri" w:cs="Arial" w:ascii="Arial" w:hAnsi="Arial"/>
                <w:b/>
                <w:bCs/>
                <w:sz w:val="20"/>
                <w:szCs w:val="20"/>
              </w:rPr>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rPr>
                <w:rFonts w:ascii="Arial" w:hAnsi="Arial" w:eastAsia="Calibri" w:cs="Arial"/>
                <w:b/>
                <w:b/>
                <w:bCs/>
                <w:sz w:val="20"/>
                <w:szCs w:val="20"/>
              </w:rPr>
            </w:pPr>
            <w:r>
              <w:rPr>
                <w:rFonts w:eastAsia="Calibri" w:cs="Arial" w:ascii="Arial" w:hAnsi="Arial"/>
                <w:b/>
                <w:bCs/>
                <w:sz w:val="20"/>
                <w:szCs w:val="20"/>
              </w:rPr>
              <w:t>Prepared by:</w:t>
            </w:r>
          </w:p>
        </w:tc>
        <w:tc>
          <w:tcPr>
            <w:tcW w:w="34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rPr/>
            </w:pPr>
            <w:r>
              <w:rPr>
                <w:rFonts w:eastAsia="Calibri" w:cs="Arial" w:ascii="Arial" w:hAnsi="Arial"/>
                <w:sz w:val="20"/>
                <w:szCs w:val="20"/>
              </w:rPr>
              <w:t>$</w:t>
            </w:r>
            <w:r>
              <w:rPr>
                <w:rFonts w:eastAsia="Calibri" w:cs="Arial" w:ascii="Arial" w:hAnsi="Arial"/>
                <w:sz w:val="20"/>
                <w:szCs w:val="20"/>
              </w:rPr>
              <w:t>{</w:t>
            </w:r>
            <w:r>
              <w:rPr>
                <w:rFonts w:eastAsia="Calibri" w:cs="Arial" w:ascii="Arial" w:hAnsi="Arial"/>
                <w:sz w:val="20"/>
                <w:szCs w:val="20"/>
              </w:rPr>
              <w:t>user</w:t>
            </w:r>
            <w:r>
              <w:rPr>
                <w:rFonts w:eastAsia="Calibri" w:cs="Arial" w:ascii="Arial" w:hAnsi="Arial"/>
                <w:sz w:val="20"/>
                <w:szCs w:val="20"/>
              </w:rPr>
              <w:t>}</w:t>
            </w:r>
          </w:p>
        </w:tc>
        <w:tc>
          <w:tcPr>
            <w:tcW w:w="34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rPr>
                <w:rFonts w:ascii="Arial" w:hAnsi="Arial" w:eastAsia="Calibri" w:cs="Arial"/>
                <w:b/>
                <w:b/>
                <w:sz w:val="20"/>
                <w:szCs w:val="20"/>
              </w:rPr>
            </w:pPr>
            <w:r>
              <w:rPr>
                <w:rFonts w:eastAsia="Calibri" w:cs="Arial" w:ascii="Arial" w:hAnsi="Arial"/>
                <w:b/>
                <w:sz w:val="20"/>
                <w:szCs w:val="20"/>
              </w:rPr>
              <w:t>Date:</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rPr>
                <w:rFonts w:ascii="Arial" w:hAnsi="Arial" w:eastAsia="Calibri" w:cs="Arial"/>
                <w:b/>
                <w:b/>
                <w:bCs/>
                <w:sz w:val="20"/>
                <w:szCs w:val="20"/>
              </w:rPr>
            </w:pPr>
            <w:r>
              <w:rPr>
                <w:rFonts w:eastAsia="Calibri" w:cs="Arial" w:ascii="Arial" w:hAnsi="Arial"/>
                <w:b/>
                <w:bCs/>
                <w:sz w:val="20"/>
                <w:szCs w:val="20"/>
              </w:rPr>
              <w:t xml:space="preserve">Approved by Manager: </w:t>
            </w:r>
          </w:p>
        </w:tc>
        <w:tc>
          <w:tcPr>
            <w:tcW w:w="34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rPr>
                <w:rFonts w:ascii="Arial" w:hAnsi="Arial" w:eastAsia="Calibri" w:cs="Arial"/>
                <w:sz w:val="20"/>
                <w:szCs w:val="20"/>
              </w:rPr>
            </w:pPr>
            <w:r>
              <w:rPr>
                <w:rFonts w:eastAsia="Calibri" w:cs="Arial" w:ascii="Arial" w:hAnsi="Arial"/>
                <w:sz w:val="20"/>
                <w:szCs w:val="20"/>
              </w:rPr>
              <w:t>${manager}</w:t>
            </w:r>
          </w:p>
        </w:tc>
        <w:tc>
          <w:tcPr>
            <w:tcW w:w="34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rPr>
                <w:rFonts w:ascii="Arial" w:hAnsi="Arial" w:eastAsia="Calibri" w:cs="Arial"/>
                <w:b/>
                <w:b/>
                <w:sz w:val="20"/>
                <w:szCs w:val="20"/>
              </w:rPr>
            </w:pPr>
            <w:r>
              <w:rPr>
                <w:rFonts w:eastAsia="Calibri" w:cs="Arial" w:ascii="Arial" w:hAnsi="Arial"/>
                <w:b/>
                <w:sz w:val="20"/>
                <w:szCs w:val="20"/>
              </w:rPr>
              <w:t>Date:</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rPr>
                <w:rFonts w:ascii="Arial" w:hAnsi="Arial" w:eastAsia="Calibri" w:cs="Arial"/>
                <w:b/>
                <w:b/>
                <w:bCs/>
                <w:sz w:val="20"/>
                <w:szCs w:val="20"/>
              </w:rPr>
            </w:pPr>
            <w:r>
              <w:rPr>
                <w:rFonts w:eastAsia="Calibri" w:cs="Arial" w:ascii="Arial" w:hAnsi="Arial"/>
                <w:b/>
                <w:bCs/>
                <w:sz w:val="20"/>
                <w:szCs w:val="20"/>
              </w:rPr>
              <w:t>Approved by Partner:</w:t>
            </w:r>
          </w:p>
        </w:tc>
        <w:tc>
          <w:tcPr>
            <w:tcW w:w="34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rPr>
                <w:rFonts w:ascii="Arial" w:hAnsi="Arial" w:eastAsia="Calibri" w:cs="Arial"/>
                <w:sz w:val="20"/>
                <w:szCs w:val="20"/>
              </w:rPr>
            </w:pPr>
            <w:r>
              <w:rPr>
                <w:rFonts w:eastAsia="Calibri" w:cs="Arial" w:ascii="Arial" w:hAnsi="Arial"/>
                <w:sz w:val="20"/>
                <w:szCs w:val="20"/>
              </w:rPr>
              <w:t>${partner}</w:t>
            </w:r>
          </w:p>
        </w:tc>
        <w:tc>
          <w:tcPr>
            <w:tcW w:w="34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rPr>
                <w:rFonts w:ascii="Arial" w:hAnsi="Arial" w:eastAsia="Calibri" w:cs="Arial"/>
                <w:b/>
                <w:b/>
                <w:sz w:val="20"/>
                <w:szCs w:val="20"/>
              </w:rPr>
            </w:pPr>
            <w:r>
              <w:rPr>
                <w:rFonts w:eastAsia="Calibri" w:cs="Arial" w:ascii="Arial" w:hAnsi="Arial"/>
                <w:b/>
                <w:sz w:val="20"/>
                <w:szCs w:val="20"/>
              </w:rPr>
              <w:t>Date:</w:t>
            </w:r>
          </w:p>
        </w:tc>
      </w:tr>
    </w:tbl>
    <w:p>
      <w:pPr>
        <w:pStyle w:val="Normal"/>
        <w:spacing w:lineRule="auto" w:line="240" w:before="240" w:after="160"/>
        <w:jc w:val="both"/>
        <w:rPr>
          <w:rFonts w:ascii="Arial" w:hAnsi="Arial" w:cs="Arial"/>
          <w:b/>
          <w:b/>
          <w:sz w:val="20"/>
          <w:szCs w:val="20"/>
        </w:rPr>
      </w:pPr>
      <w:r>
        <w:rPr>
          <w:rFonts w:cs="Arial" w:ascii="Arial" w:hAnsi="Arial"/>
          <w:b/>
          <w:sz w:val="20"/>
          <w:szCs w:val="20"/>
        </w:rPr>
      </w:r>
      <w:bookmarkStart w:id="1" w:name="_GoBack"/>
      <w:bookmarkStart w:id="2" w:name="_GoBack"/>
      <w:bookmarkEnd w:id="2"/>
    </w:p>
    <w:tbl>
      <w:tblPr>
        <w:tblStyle w:val="TableGrid"/>
        <w:tblW w:w="5000" w:type="pct"/>
        <w:jc w:val="left"/>
        <w:tblInd w:w="0" w:type="dxa"/>
        <w:tblCellMar>
          <w:top w:w="0" w:type="dxa"/>
          <w:left w:w="108" w:type="dxa"/>
          <w:bottom w:w="0" w:type="dxa"/>
          <w:right w:w="108" w:type="dxa"/>
        </w:tblCellMar>
        <w:tblLook w:noVBand="1" w:val="04a0" w:noHBand="0" w:lastColumn="0" w:firstColumn="1" w:lastRow="0" w:firstRow="1"/>
      </w:tblPr>
      <w:tblGrid>
        <w:gridCol w:w="5760"/>
        <w:gridCol w:w="1799"/>
        <w:gridCol w:w="1801"/>
      </w:tblGrid>
      <w:tr>
        <w:trPr/>
        <w:tc>
          <w:tcPr>
            <w:tcW w:w="5760" w:type="dxa"/>
            <w:tcBorders/>
            <w:shd w:color="auto" w:fill="8EAADB" w:themeFill="accent5" w:themeFillTint="99" w:val="clear"/>
          </w:tcPr>
          <w:p>
            <w:pPr>
              <w:pStyle w:val="Normal"/>
              <w:spacing w:lineRule="auto" w:line="240" w:before="240" w:after="0"/>
              <w:jc w:val="both"/>
              <w:rPr>
                <w:rFonts w:ascii="Arial" w:hAnsi="Arial" w:cs="Arial"/>
                <w:b/>
                <w:b/>
                <w:sz w:val="20"/>
                <w:szCs w:val="20"/>
              </w:rPr>
            </w:pPr>
            <w:r>
              <w:rPr>
                <w:rFonts w:cs="Arial" w:ascii="Arial" w:hAnsi="Arial"/>
                <w:b/>
                <w:sz w:val="20"/>
                <w:szCs w:val="20"/>
              </w:rPr>
              <w:t>Procedures performed</w:t>
            </w:r>
          </w:p>
        </w:tc>
        <w:tc>
          <w:tcPr>
            <w:tcW w:w="1799" w:type="dxa"/>
            <w:tcBorders/>
            <w:shd w:color="auto" w:fill="8EAADB" w:themeFill="accent5" w:themeFillTint="99" w:val="clear"/>
          </w:tcPr>
          <w:p>
            <w:pPr>
              <w:pStyle w:val="Normal"/>
              <w:spacing w:lineRule="auto" w:line="240" w:before="240" w:after="0"/>
              <w:jc w:val="both"/>
              <w:rPr>
                <w:rFonts w:ascii="Arial" w:hAnsi="Arial" w:cs="Arial"/>
                <w:b/>
                <w:b/>
                <w:sz w:val="20"/>
                <w:szCs w:val="20"/>
              </w:rPr>
            </w:pPr>
            <w:r>
              <w:rPr>
                <w:rFonts w:cs="Arial" w:ascii="Arial" w:hAnsi="Arial"/>
                <w:b/>
                <w:sz w:val="20"/>
                <w:szCs w:val="20"/>
              </w:rPr>
              <w:t>Links</w:t>
            </w:r>
          </w:p>
        </w:tc>
        <w:tc>
          <w:tcPr>
            <w:tcW w:w="1801" w:type="dxa"/>
            <w:tcBorders/>
            <w:shd w:color="auto" w:fill="8EAADB" w:themeFill="accent5" w:themeFillTint="99" w:val="clear"/>
          </w:tcPr>
          <w:p>
            <w:pPr>
              <w:pStyle w:val="Normal"/>
              <w:spacing w:lineRule="auto" w:line="240" w:before="240" w:after="0"/>
              <w:jc w:val="both"/>
              <w:rPr>
                <w:rFonts w:ascii="Arial" w:hAnsi="Arial" w:cs="Arial"/>
                <w:b/>
                <w:b/>
                <w:sz w:val="20"/>
                <w:szCs w:val="20"/>
              </w:rPr>
            </w:pPr>
            <w:r>
              <w:rPr>
                <w:rFonts w:cs="Arial" w:ascii="Arial" w:hAnsi="Arial"/>
                <w:b/>
                <w:sz w:val="20"/>
                <w:szCs w:val="20"/>
              </w:rPr>
              <w:t>Ref. no.</w:t>
            </w:r>
          </w:p>
        </w:tc>
      </w:tr>
      <w:tr>
        <w:trPr/>
        <w:tc>
          <w:tcPr>
            <w:tcW w:w="5760"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The engagement team identified risks of material misstatement and determined whether they exist at the financial statement and assertion level.</w:t>
            </w:r>
          </w:p>
        </w:tc>
        <w:tc>
          <w:tcPr>
            <w:tcW w:w="1799" w:type="dxa"/>
            <w:vMerge w:val="restart"/>
            <w:tcBorders/>
            <w:shd w:fill="auto" w:val="clear"/>
          </w:tcPr>
          <w:p>
            <w:pPr>
              <w:pStyle w:val="Normal"/>
              <w:spacing w:lineRule="auto" w:line="240" w:before="0" w:after="0"/>
              <w:jc w:val="both"/>
              <w:rPr/>
            </w:pPr>
            <w:hyperlink r:id="rId2">
              <w:r>
                <w:rPr>
                  <w:rStyle w:val="InternetLink"/>
                  <w:rFonts w:cs="Arial" w:ascii="Arial" w:hAnsi="Arial"/>
                  <w:b/>
                  <w:sz w:val="20"/>
                  <w:szCs w:val="20"/>
                </w:rPr>
                <w:t>Risk Assessment Document.docx</w:t>
              </w:r>
            </w:hyperlink>
          </w:p>
          <w:p>
            <w:pPr>
              <w:pStyle w:val="Normal"/>
              <w:spacing w:lineRule="auto" w:line="240" w:before="0" w:after="0"/>
              <w:jc w:val="both"/>
              <w:rPr>
                <w:rFonts w:ascii="Arial" w:hAnsi="Arial" w:cs="Arial"/>
                <w:sz w:val="20"/>
                <w:szCs w:val="20"/>
              </w:rPr>
            </w:pPr>
            <w:r>
              <w:rPr>
                <w:rFonts w:cs="Arial" w:ascii="Arial" w:hAnsi="Arial"/>
                <w:sz w:val="20"/>
                <w:szCs w:val="20"/>
              </w:rPr>
            </w:r>
          </w:p>
        </w:tc>
        <w:tc>
          <w:tcPr>
            <w:tcW w:w="1801" w:type="dxa"/>
            <w:vMerge w:val="restart"/>
            <w:tcBorders/>
            <w:shd w:fill="auto" w:val="clear"/>
          </w:tcPr>
          <w:p>
            <w:pPr>
              <w:pStyle w:val="ListParagraph"/>
              <w:spacing w:lineRule="auto" w:line="240" w:before="0" w:after="0"/>
              <w:ind w:left="360" w:hanging="0"/>
              <w:contextualSpacing/>
              <w:jc w:val="both"/>
              <w:rPr>
                <w:rFonts w:ascii="Arial" w:hAnsi="Arial" w:cs="Arial"/>
                <w:sz w:val="20"/>
                <w:szCs w:val="20"/>
              </w:rPr>
            </w:pPr>
            <w:r>
              <w:rPr>
                <w:rFonts w:cs="Arial" w:ascii="Arial" w:hAnsi="Arial"/>
                <w:sz w:val="20"/>
                <w:szCs w:val="20"/>
              </w:rPr>
            </w:r>
          </w:p>
        </w:tc>
      </w:tr>
      <w:tr>
        <w:trPr/>
        <w:tc>
          <w:tcPr>
            <w:tcW w:w="5760"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The engagement team determined the relevant assertions and the related significant classes of transactions, account balances and disclosures.</w:t>
            </w:r>
          </w:p>
        </w:tc>
        <w:tc>
          <w:tcPr>
            <w:tcW w:w="1799" w:type="dxa"/>
            <w:vMerge w:val="continue"/>
            <w:tcBorders/>
            <w:shd w:fill="auto" w:val="clear"/>
          </w:tcPr>
          <w:p>
            <w:pPr>
              <w:pStyle w:val="ListParagraph"/>
              <w:spacing w:lineRule="auto" w:line="240" w:before="0" w:after="0"/>
              <w:ind w:left="360" w:hanging="0"/>
              <w:contextualSpacing/>
              <w:jc w:val="both"/>
              <w:rPr>
                <w:rFonts w:ascii="Arial" w:hAnsi="Arial" w:cs="Arial"/>
                <w:sz w:val="20"/>
                <w:szCs w:val="20"/>
              </w:rPr>
            </w:pPr>
            <w:r>
              <w:rPr>
                <w:rFonts w:cs="Arial" w:ascii="Arial" w:hAnsi="Arial"/>
                <w:sz w:val="20"/>
                <w:szCs w:val="20"/>
              </w:rPr>
            </w:r>
          </w:p>
        </w:tc>
        <w:tc>
          <w:tcPr>
            <w:tcW w:w="1801" w:type="dxa"/>
            <w:vMerge w:val="continue"/>
            <w:tcBorders/>
            <w:shd w:fill="auto" w:val="clear"/>
          </w:tcPr>
          <w:p>
            <w:pPr>
              <w:pStyle w:val="ListParagraph"/>
              <w:spacing w:lineRule="auto" w:line="240" w:before="0" w:after="0"/>
              <w:ind w:left="360" w:hanging="0"/>
              <w:contextualSpacing/>
              <w:jc w:val="both"/>
              <w:rPr>
                <w:rFonts w:ascii="Arial" w:hAnsi="Arial" w:cs="Arial"/>
                <w:sz w:val="20"/>
                <w:szCs w:val="20"/>
              </w:rPr>
            </w:pPr>
            <w:r>
              <w:rPr>
                <w:rFonts w:cs="Arial" w:ascii="Arial" w:hAnsi="Arial"/>
                <w:sz w:val="20"/>
                <w:szCs w:val="20"/>
              </w:rPr>
            </w:r>
          </w:p>
        </w:tc>
      </w:tr>
      <w:tr>
        <w:trPr/>
        <w:tc>
          <w:tcPr>
            <w:tcW w:w="5760"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Risks of material misstatement identified and assessed by the engagement team provided a basis for determining the nature, timing and extent of further audit procedures necessary to obtain sufficient appropriate audit evidence.</w:t>
            </w:r>
          </w:p>
        </w:tc>
        <w:tc>
          <w:tcPr>
            <w:tcW w:w="1799" w:type="dxa"/>
            <w:vMerge w:val="continue"/>
            <w:tcBorders/>
            <w:shd w:fill="auto" w:val="clear"/>
          </w:tcPr>
          <w:p>
            <w:pPr>
              <w:pStyle w:val="ListParagraph"/>
              <w:spacing w:lineRule="auto" w:line="240" w:before="0" w:after="0"/>
              <w:ind w:left="360" w:hanging="0"/>
              <w:contextualSpacing/>
              <w:jc w:val="both"/>
              <w:rPr>
                <w:rFonts w:ascii="Arial" w:hAnsi="Arial" w:cs="Arial"/>
                <w:sz w:val="20"/>
                <w:szCs w:val="20"/>
              </w:rPr>
            </w:pPr>
            <w:r>
              <w:rPr>
                <w:rFonts w:cs="Arial" w:ascii="Arial" w:hAnsi="Arial"/>
                <w:sz w:val="20"/>
                <w:szCs w:val="20"/>
              </w:rPr>
            </w:r>
          </w:p>
        </w:tc>
        <w:tc>
          <w:tcPr>
            <w:tcW w:w="1801" w:type="dxa"/>
            <w:vMerge w:val="continue"/>
            <w:tcBorders/>
            <w:shd w:fill="auto" w:val="clear"/>
          </w:tcPr>
          <w:p>
            <w:pPr>
              <w:pStyle w:val="ListParagraph"/>
              <w:spacing w:lineRule="auto" w:line="240" w:before="0" w:after="0"/>
              <w:ind w:left="360" w:hanging="0"/>
              <w:contextualSpacing/>
              <w:jc w:val="both"/>
              <w:rPr>
                <w:rFonts w:ascii="Arial" w:hAnsi="Arial" w:cs="Arial"/>
                <w:sz w:val="20"/>
                <w:szCs w:val="20"/>
              </w:rPr>
            </w:pPr>
            <w:r>
              <w:rPr>
                <w:rFonts w:cs="Arial" w:ascii="Arial" w:hAnsi="Arial"/>
                <w:sz w:val="20"/>
                <w:szCs w:val="20"/>
              </w:rPr>
            </w:r>
          </w:p>
        </w:tc>
      </w:tr>
      <w:tr>
        <w:trPr/>
        <w:tc>
          <w:tcPr>
            <w:tcW w:w="5760"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 xml:space="preserve">The engagement team identified risks throughout the process of obtaining an understanding of the entity and its environment, including relevant controls that relate to the risks, and by considering the classes of transactions, account balances, and disclosures in the financial statements. </w:t>
            </w:r>
          </w:p>
        </w:tc>
        <w:tc>
          <w:tcPr>
            <w:tcW w:w="1799" w:type="dxa"/>
            <w:vMerge w:val="continue"/>
            <w:tcBorders/>
            <w:shd w:fill="auto" w:val="clear"/>
          </w:tcPr>
          <w:p>
            <w:pPr>
              <w:pStyle w:val="ListParagraph"/>
              <w:spacing w:lineRule="auto" w:line="240" w:before="0" w:after="0"/>
              <w:ind w:left="360" w:hanging="0"/>
              <w:contextualSpacing/>
              <w:jc w:val="both"/>
              <w:rPr>
                <w:rFonts w:ascii="Arial" w:hAnsi="Arial" w:cs="Arial"/>
                <w:sz w:val="20"/>
                <w:szCs w:val="20"/>
              </w:rPr>
            </w:pPr>
            <w:r>
              <w:rPr>
                <w:rFonts w:cs="Arial" w:ascii="Arial" w:hAnsi="Arial"/>
                <w:sz w:val="20"/>
                <w:szCs w:val="20"/>
              </w:rPr>
            </w:r>
          </w:p>
        </w:tc>
        <w:tc>
          <w:tcPr>
            <w:tcW w:w="1801" w:type="dxa"/>
            <w:vMerge w:val="continue"/>
            <w:tcBorders/>
            <w:shd w:fill="auto" w:val="clear"/>
          </w:tcPr>
          <w:p>
            <w:pPr>
              <w:pStyle w:val="ListParagraph"/>
              <w:spacing w:lineRule="auto" w:line="240" w:before="0" w:after="0"/>
              <w:ind w:left="360" w:hanging="0"/>
              <w:contextualSpacing/>
              <w:jc w:val="both"/>
              <w:rPr>
                <w:rFonts w:ascii="Arial" w:hAnsi="Arial" w:cs="Arial"/>
                <w:sz w:val="20"/>
                <w:szCs w:val="20"/>
              </w:rPr>
            </w:pPr>
            <w:r>
              <w:rPr>
                <w:rFonts w:cs="Arial" w:ascii="Arial" w:hAnsi="Arial"/>
                <w:sz w:val="20"/>
                <w:szCs w:val="20"/>
              </w:rPr>
            </w:r>
          </w:p>
        </w:tc>
      </w:tr>
      <w:tr>
        <w:trPr>
          <w:trHeight w:val="1583" w:hRule="atLeast"/>
        </w:trPr>
        <w:tc>
          <w:tcPr>
            <w:tcW w:w="5760"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 xml:space="preserve">For identified risks of material misstatement at the financial statement level, the engagement team assessed the risks and: </w:t>
            </w:r>
          </w:p>
          <w:p>
            <w:pPr>
              <w:pStyle w:val="ListParagraph"/>
              <w:numPr>
                <w:ilvl w:val="1"/>
                <w:numId w:val="1"/>
              </w:numPr>
              <w:spacing w:lineRule="auto" w:line="240" w:before="0" w:after="0"/>
              <w:contextualSpacing/>
              <w:jc w:val="both"/>
              <w:rPr>
                <w:rFonts w:ascii="Arial" w:hAnsi="Arial" w:cs="Arial"/>
                <w:sz w:val="20"/>
                <w:szCs w:val="20"/>
              </w:rPr>
            </w:pPr>
            <w:r>
              <w:rPr>
                <w:rFonts w:cs="Arial" w:ascii="Arial" w:hAnsi="Arial"/>
                <w:sz w:val="20"/>
                <w:szCs w:val="20"/>
              </w:rPr>
              <w:t xml:space="preserve">Determined whether such risks affect the assessment of risks at the assertion level; and </w:t>
            </w:r>
          </w:p>
          <w:p>
            <w:pPr>
              <w:pStyle w:val="ListParagraph"/>
              <w:numPr>
                <w:ilvl w:val="1"/>
                <w:numId w:val="1"/>
              </w:numPr>
              <w:spacing w:lineRule="auto" w:line="240" w:before="0" w:after="0"/>
              <w:contextualSpacing/>
              <w:jc w:val="both"/>
              <w:rPr>
                <w:rFonts w:ascii="Arial" w:hAnsi="Arial" w:cs="Arial"/>
                <w:sz w:val="20"/>
                <w:szCs w:val="20"/>
              </w:rPr>
            </w:pPr>
            <w:r>
              <w:rPr>
                <w:rFonts w:cs="Arial" w:ascii="Arial" w:hAnsi="Arial"/>
                <w:sz w:val="20"/>
                <w:szCs w:val="20"/>
              </w:rPr>
              <w:t>Evaluated the nature and extent of their pervasive effect on the financial statements.</w:t>
            </w:r>
          </w:p>
        </w:tc>
        <w:tc>
          <w:tcPr>
            <w:tcW w:w="1799" w:type="dxa"/>
            <w:vMerge w:val="continue"/>
            <w:tcBorders/>
            <w:shd w:fill="auto" w:val="clear"/>
          </w:tcPr>
          <w:p>
            <w:pPr>
              <w:pStyle w:val="ListParagraph"/>
              <w:spacing w:lineRule="auto" w:line="240" w:before="0" w:after="0"/>
              <w:ind w:left="360" w:hanging="0"/>
              <w:contextualSpacing/>
              <w:jc w:val="both"/>
              <w:rPr>
                <w:rFonts w:ascii="Arial" w:hAnsi="Arial" w:cs="Arial"/>
                <w:sz w:val="20"/>
                <w:szCs w:val="20"/>
              </w:rPr>
            </w:pPr>
            <w:r>
              <w:rPr>
                <w:rFonts w:cs="Arial" w:ascii="Arial" w:hAnsi="Arial"/>
                <w:sz w:val="20"/>
                <w:szCs w:val="20"/>
              </w:rPr>
            </w:r>
          </w:p>
        </w:tc>
        <w:tc>
          <w:tcPr>
            <w:tcW w:w="1801" w:type="dxa"/>
            <w:vMerge w:val="continue"/>
            <w:tcBorders/>
            <w:shd w:fill="auto" w:val="clear"/>
          </w:tcPr>
          <w:p>
            <w:pPr>
              <w:pStyle w:val="ListParagraph"/>
              <w:spacing w:lineRule="auto" w:line="240" w:before="0" w:after="0"/>
              <w:ind w:left="360" w:hanging="0"/>
              <w:contextualSpacing/>
              <w:jc w:val="both"/>
              <w:rPr>
                <w:rFonts w:ascii="Arial" w:hAnsi="Arial" w:cs="Arial"/>
                <w:sz w:val="20"/>
                <w:szCs w:val="20"/>
              </w:rPr>
            </w:pPr>
            <w:r>
              <w:rPr>
                <w:rFonts w:cs="Arial" w:ascii="Arial" w:hAnsi="Arial"/>
                <w:sz w:val="20"/>
                <w:szCs w:val="20"/>
              </w:rPr>
            </w:r>
          </w:p>
        </w:tc>
      </w:tr>
      <w:tr>
        <w:trPr>
          <w:trHeight w:val="1790" w:hRule="atLeast"/>
        </w:trPr>
        <w:tc>
          <w:tcPr>
            <w:tcW w:w="5760"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 xml:space="preserve">For identified risks of material misstatement at the assertion level, the engagement team assessed inherent risk by assessing the likelihood and magnitude of misstatement. In doing so, the engagement team considered how, and the degree to which: </w:t>
            </w:r>
          </w:p>
          <w:p>
            <w:pPr>
              <w:pStyle w:val="ListParagraph"/>
              <w:numPr>
                <w:ilvl w:val="1"/>
                <w:numId w:val="1"/>
              </w:numPr>
              <w:spacing w:lineRule="auto" w:line="240" w:before="0" w:after="0"/>
              <w:contextualSpacing/>
              <w:jc w:val="both"/>
              <w:rPr>
                <w:rFonts w:ascii="Arial" w:hAnsi="Arial" w:cs="Arial"/>
                <w:sz w:val="20"/>
                <w:szCs w:val="20"/>
              </w:rPr>
            </w:pPr>
            <w:r>
              <w:rPr>
                <w:rFonts w:cs="Arial" w:ascii="Arial" w:hAnsi="Arial"/>
                <w:sz w:val="20"/>
                <w:szCs w:val="20"/>
              </w:rPr>
              <w:t xml:space="preserve">Inherent risk factors affect the susceptibility of relevant assertions to misstatement; and </w:t>
            </w:r>
          </w:p>
          <w:p>
            <w:pPr>
              <w:pStyle w:val="ListParagraph"/>
              <w:numPr>
                <w:ilvl w:val="1"/>
                <w:numId w:val="1"/>
              </w:numPr>
              <w:spacing w:lineRule="auto" w:line="240" w:before="0" w:after="0"/>
              <w:contextualSpacing/>
              <w:jc w:val="both"/>
              <w:rPr>
                <w:rFonts w:ascii="Arial" w:hAnsi="Arial" w:cs="Arial"/>
                <w:sz w:val="20"/>
                <w:szCs w:val="20"/>
              </w:rPr>
            </w:pPr>
            <w:r>
              <w:rPr>
                <w:rFonts w:cs="Arial" w:ascii="Arial" w:hAnsi="Arial"/>
                <w:sz w:val="20"/>
                <w:szCs w:val="20"/>
              </w:rPr>
              <w:t xml:space="preserve">The risks of material misstatement at the financial statement level affect the assessment of inherent risk for risks of material misstatement at the assertion level. </w:t>
            </w:r>
          </w:p>
        </w:tc>
        <w:tc>
          <w:tcPr>
            <w:tcW w:w="1799" w:type="dxa"/>
            <w:vMerge w:val="continue"/>
            <w:tcBorders/>
            <w:shd w:fill="auto" w:val="clear"/>
          </w:tcPr>
          <w:p>
            <w:pPr>
              <w:pStyle w:val="ListParagraph"/>
              <w:spacing w:lineRule="auto" w:line="240" w:before="0" w:after="0"/>
              <w:ind w:left="360" w:hanging="0"/>
              <w:contextualSpacing/>
              <w:jc w:val="both"/>
              <w:rPr>
                <w:rFonts w:ascii="Arial" w:hAnsi="Arial" w:cs="Arial"/>
                <w:sz w:val="20"/>
                <w:szCs w:val="20"/>
              </w:rPr>
            </w:pPr>
            <w:r>
              <w:rPr>
                <w:rFonts w:cs="Arial" w:ascii="Arial" w:hAnsi="Arial"/>
                <w:sz w:val="20"/>
                <w:szCs w:val="20"/>
              </w:rPr>
            </w:r>
          </w:p>
        </w:tc>
        <w:tc>
          <w:tcPr>
            <w:tcW w:w="1801" w:type="dxa"/>
            <w:vMerge w:val="continue"/>
            <w:tcBorders/>
            <w:shd w:fill="auto" w:val="clear"/>
          </w:tcPr>
          <w:p>
            <w:pPr>
              <w:pStyle w:val="ListParagraph"/>
              <w:spacing w:lineRule="auto" w:line="240" w:before="0" w:after="0"/>
              <w:ind w:left="360" w:hanging="0"/>
              <w:contextualSpacing/>
              <w:jc w:val="both"/>
              <w:rPr>
                <w:rFonts w:ascii="Arial" w:hAnsi="Arial" w:cs="Arial"/>
                <w:sz w:val="20"/>
                <w:szCs w:val="20"/>
              </w:rPr>
            </w:pPr>
            <w:r>
              <w:rPr>
                <w:rFonts w:cs="Arial" w:ascii="Arial" w:hAnsi="Arial"/>
                <w:sz w:val="20"/>
                <w:szCs w:val="20"/>
              </w:rPr>
            </w:r>
          </w:p>
        </w:tc>
      </w:tr>
      <w:tr>
        <w:trPr>
          <w:trHeight w:val="3925" w:hRule="atLeast"/>
        </w:trPr>
        <w:tc>
          <w:tcPr>
            <w:tcW w:w="5760"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 xml:space="preserve">The engagement team determined whether any of the assessed risks of material misstatement are significant risks: </w:t>
            </w:r>
          </w:p>
          <w:p>
            <w:pPr>
              <w:pStyle w:val="ListParagraph"/>
              <w:numPr>
                <w:ilvl w:val="0"/>
                <w:numId w:val="2"/>
              </w:numPr>
              <w:spacing w:lineRule="auto" w:line="240" w:before="0" w:after="0"/>
              <w:contextualSpacing/>
              <w:jc w:val="both"/>
              <w:rPr>
                <w:rFonts w:ascii="Arial" w:hAnsi="Arial" w:cs="Arial"/>
                <w:sz w:val="20"/>
                <w:szCs w:val="20"/>
              </w:rPr>
            </w:pPr>
            <w:r>
              <w:rPr>
                <w:rFonts w:cs="Arial" w:ascii="Arial" w:hAnsi="Arial"/>
                <w:sz w:val="20"/>
                <w:szCs w:val="20"/>
              </w:rPr>
              <w:t xml:space="preserve">Whether the risk is a risk of fraud; </w:t>
            </w:r>
          </w:p>
          <w:p>
            <w:pPr>
              <w:pStyle w:val="ListParagraph"/>
              <w:numPr>
                <w:ilvl w:val="0"/>
                <w:numId w:val="2"/>
              </w:numPr>
              <w:spacing w:lineRule="auto" w:line="240" w:before="0" w:after="0"/>
              <w:contextualSpacing/>
              <w:jc w:val="both"/>
              <w:rPr>
                <w:rFonts w:ascii="Arial" w:hAnsi="Arial" w:cs="Arial"/>
                <w:sz w:val="20"/>
                <w:szCs w:val="20"/>
              </w:rPr>
            </w:pPr>
            <w:r>
              <w:rPr>
                <w:rFonts w:cs="Arial" w:ascii="Arial" w:hAnsi="Arial"/>
                <w:sz w:val="20"/>
                <w:szCs w:val="20"/>
              </w:rPr>
              <w:t xml:space="preserve">Whether the risk is related to recent significant economic, accounting or other developments and, therefore, requires specific attention; </w:t>
            </w:r>
          </w:p>
          <w:p>
            <w:pPr>
              <w:pStyle w:val="ListParagraph"/>
              <w:numPr>
                <w:ilvl w:val="0"/>
                <w:numId w:val="2"/>
              </w:numPr>
              <w:spacing w:lineRule="auto" w:line="240" w:before="0" w:after="0"/>
              <w:contextualSpacing/>
              <w:jc w:val="both"/>
              <w:rPr>
                <w:rFonts w:ascii="Arial" w:hAnsi="Arial" w:cs="Arial"/>
                <w:sz w:val="20"/>
                <w:szCs w:val="20"/>
              </w:rPr>
            </w:pPr>
            <w:r>
              <w:rPr>
                <w:rFonts w:cs="Arial" w:ascii="Arial" w:hAnsi="Arial"/>
                <w:sz w:val="20"/>
                <w:szCs w:val="20"/>
              </w:rPr>
              <w:t xml:space="preserve">The complexity of transactions; </w:t>
            </w:r>
          </w:p>
          <w:p>
            <w:pPr>
              <w:pStyle w:val="ListParagraph"/>
              <w:numPr>
                <w:ilvl w:val="0"/>
                <w:numId w:val="2"/>
              </w:numPr>
              <w:spacing w:lineRule="auto" w:line="240" w:before="0" w:after="0"/>
              <w:contextualSpacing/>
              <w:jc w:val="both"/>
              <w:rPr>
                <w:rFonts w:ascii="Arial" w:hAnsi="Arial" w:cs="Arial"/>
                <w:sz w:val="20"/>
                <w:szCs w:val="20"/>
              </w:rPr>
            </w:pPr>
            <w:r>
              <w:rPr>
                <w:rFonts w:cs="Arial" w:ascii="Arial" w:hAnsi="Arial"/>
                <w:sz w:val="20"/>
                <w:szCs w:val="20"/>
              </w:rPr>
              <w:t xml:space="preserve">Whether the risk involves significant transactions with related parties; </w:t>
            </w:r>
          </w:p>
          <w:p>
            <w:pPr>
              <w:pStyle w:val="ListParagraph"/>
              <w:numPr>
                <w:ilvl w:val="0"/>
                <w:numId w:val="2"/>
              </w:numPr>
              <w:spacing w:lineRule="auto" w:line="240" w:before="0" w:after="0"/>
              <w:contextualSpacing/>
              <w:jc w:val="both"/>
              <w:rPr>
                <w:rFonts w:ascii="Arial" w:hAnsi="Arial" w:cs="Arial"/>
                <w:sz w:val="20"/>
                <w:szCs w:val="20"/>
              </w:rPr>
            </w:pPr>
            <w:r>
              <w:rPr>
                <w:rFonts w:cs="Arial" w:ascii="Arial" w:hAnsi="Arial"/>
                <w:sz w:val="20"/>
                <w:szCs w:val="20"/>
              </w:rPr>
              <w:t xml:space="preserve">The degree of subjectivity in the measurement of financial information related to the risk, especially those measurements involving a wide range of measurement uncertainty; and </w:t>
            </w:r>
          </w:p>
          <w:p>
            <w:pPr>
              <w:pStyle w:val="ListParagraph"/>
              <w:numPr>
                <w:ilvl w:val="0"/>
                <w:numId w:val="2"/>
              </w:numPr>
              <w:spacing w:lineRule="auto" w:line="240" w:before="0" w:after="0"/>
              <w:contextualSpacing/>
              <w:jc w:val="both"/>
              <w:rPr>
                <w:rFonts w:ascii="Arial" w:hAnsi="Arial" w:cs="Arial"/>
                <w:sz w:val="20"/>
                <w:szCs w:val="20"/>
              </w:rPr>
            </w:pPr>
            <w:r>
              <w:rPr>
                <w:rFonts w:cs="Arial" w:ascii="Arial" w:hAnsi="Arial"/>
                <w:sz w:val="20"/>
                <w:szCs w:val="20"/>
              </w:rPr>
              <w:t>Whether the risk involves significant transactions that are outside the normal course of business for the entity, or that otherwise appear to be unusual.</w:t>
            </w:r>
          </w:p>
        </w:tc>
        <w:tc>
          <w:tcPr>
            <w:tcW w:w="1799" w:type="dxa"/>
            <w:vMerge w:val="continue"/>
            <w:tcBorders/>
            <w:shd w:fill="auto" w:val="clear"/>
          </w:tcPr>
          <w:p>
            <w:pPr>
              <w:pStyle w:val="ListParagraph"/>
              <w:spacing w:lineRule="auto" w:line="240" w:before="0" w:after="0"/>
              <w:ind w:left="360" w:hanging="0"/>
              <w:contextualSpacing/>
              <w:jc w:val="both"/>
              <w:rPr>
                <w:rFonts w:ascii="Arial" w:hAnsi="Arial" w:cs="Arial"/>
                <w:sz w:val="20"/>
                <w:szCs w:val="20"/>
              </w:rPr>
            </w:pPr>
            <w:r>
              <w:rPr>
                <w:rFonts w:cs="Arial" w:ascii="Arial" w:hAnsi="Arial"/>
                <w:sz w:val="20"/>
                <w:szCs w:val="20"/>
              </w:rPr>
            </w:r>
          </w:p>
        </w:tc>
        <w:tc>
          <w:tcPr>
            <w:tcW w:w="1801" w:type="dxa"/>
            <w:vMerge w:val="continue"/>
            <w:tcBorders/>
            <w:shd w:fill="auto" w:val="clear"/>
          </w:tcPr>
          <w:p>
            <w:pPr>
              <w:pStyle w:val="ListParagraph"/>
              <w:spacing w:lineRule="auto" w:line="240" w:before="0" w:after="0"/>
              <w:ind w:left="360" w:hanging="0"/>
              <w:contextualSpacing/>
              <w:jc w:val="both"/>
              <w:rPr>
                <w:rFonts w:ascii="Arial" w:hAnsi="Arial" w:cs="Arial"/>
                <w:sz w:val="20"/>
                <w:szCs w:val="20"/>
              </w:rPr>
            </w:pPr>
            <w:r>
              <w:rPr>
                <w:rFonts w:cs="Arial" w:ascii="Arial" w:hAnsi="Arial"/>
                <w:sz w:val="20"/>
                <w:szCs w:val="20"/>
              </w:rPr>
            </w:r>
          </w:p>
        </w:tc>
      </w:tr>
      <w:tr>
        <w:trPr/>
        <w:tc>
          <w:tcPr>
            <w:tcW w:w="5760"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Significant risks require special audit consideration and require obtaining an understanding of the entity’s controls, including control activities, relevant to the significant risk(s).</w:t>
            </w:r>
          </w:p>
        </w:tc>
        <w:tc>
          <w:tcPr>
            <w:tcW w:w="1799" w:type="dxa"/>
            <w:vMerge w:val="continue"/>
            <w:tcBorders/>
            <w:shd w:fill="auto" w:val="clear"/>
          </w:tcPr>
          <w:p>
            <w:pPr>
              <w:pStyle w:val="ListParagraph"/>
              <w:spacing w:lineRule="auto" w:line="240" w:before="0" w:after="0"/>
              <w:ind w:left="360" w:hanging="0"/>
              <w:contextualSpacing/>
              <w:jc w:val="both"/>
              <w:rPr>
                <w:rFonts w:ascii="Arial" w:hAnsi="Arial" w:cs="Arial"/>
                <w:sz w:val="20"/>
                <w:szCs w:val="20"/>
              </w:rPr>
            </w:pPr>
            <w:r>
              <w:rPr>
                <w:rFonts w:cs="Arial" w:ascii="Arial" w:hAnsi="Arial"/>
                <w:sz w:val="20"/>
                <w:szCs w:val="20"/>
              </w:rPr>
            </w:r>
          </w:p>
        </w:tc>
        <w:tc>
          <w:tcPr>
            <w:tcW w:w="1801" w:type="dxa"/>
            <w:vMerge w:val="continue"/>
            <w:tcBorders/>
            <w:shd w:fill="auto" w:val="clear"/>
          </w:tcPr>
          <w:p>
            <w:pPr>
              <w:pStyle w:val="ListParagraph"/>
              <w:spacing w:lineRule="auto" w:line="240" w:before="0" w:after="0"/>
              <w:ind w:left="360" w:hanging="0"/>
              <w:contextualSpacing/>
              <w:jc w:val="both"/>
              <w:rPr>
                <w:rFonts w:ascii="Arial" w:hAnsi="Arial" w:cs="Arial"/>
                <w:sz w:val="20"/>
                <w:szCs w:val="20"/>
              </w:rPr>
            </w:pPr>
            <w:r>
              <w:rPr>
                <w:rFonts w:cs="Arial" w:ascii="Arial" w:hAnsi="Arial"/>
                <w:sz w:val="20"/>
                <w:szCs w:val="20"/>
              </w:rPr>
            </w:r>
          </w:p>
        </w:tc>
      </w:tr>
      <w:tr>
        <w:trPr/>
        <w:tc>
          <w:tcPr>
            <w:tcW w:w="5760"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The engagement team determined whether substantive procedures alone cannot provide sufficient appropriate audit evidence for any of the risks of material misstatement at the assertion level.</w:t>
            </w:r>
          </w:p>
        </w:tc>
        <w:tc>
          <w:tcPr>
            <w:tcW w:w="1799" w:type="dxa"/>
            <w:vMerge w:val="continue"/>
            <w:tcBorders/>
            <w:shd w:fill="auto" w:val="clear"/>
          </w:tcPr>
          <w:p>
            <w:pPr>
              <w:pStyle w:val="ListParagraph"/>
              <w:spacing w:lineRule="auto" w:line="240" w:before="0" w:after="0"/>
              <w:ind w:left="360" w:hanging="0"/>
              <w:contextualSpacing/>
              <w:jc w:val="both"/>
              <w:rPr>
                <w:rFonts w:ascii="Arial" w:hAnsi="Arial" w:cs="Arial"/>
                <w:sz w:val="20"/>
                <w:szCs w:val="20"/>
              </w:rPr>
            </w:pPr>
            <w:r>
              <w:rPr>
                <w:rFonts w:cs="Arial" w:ascii="Arial" w:hAnsi="Arial"/>
                <w:sz w:val="20"/>
                <w:szCs w:val="20"/>
              </w:rPr>
            </w:r>
          </w:p>
        </w:tc>
        <w:tc>
          <w:tcPr>
            <w:tcW w:w="1801" w:type="dxa"/>
            <w:vMerge w:val="continue"/>
            <w:tcBorders/>
            <w:shd w:fill="auto" w:val="clear"/>
          </w:tcPr>
          <w:p>
            <w:pPr>
              <w:pStyle w:val="ListParagraph"/>
              <w:spacing w:lineRule="auto" w:line="240" w:before="0" w:after="0"/>
              <w:ind w:left="360" w:hanging="0"/>
              <w:contextualSpacing/>
              <w:jc w:val="both"/>
              <w:rPr>
                <w:rFonts w:ascii="Arial" w:hAnsi="Arial" w:cs="Arial"/>
                <w:sz w:val="20"/>
                <w:szCs w:val="20"/>
              </w:rPr>
            </w:pPr>
            <w:r>
              <w:rPr>
                <w:rFonts w:cs="Arial" w:ascii="Arial" w:hAnsi="Arial"/>
                <w:sz w:val="20"/>
                <w:szCs w:val="20"/>
              </w:rPr>
            </w:r>
          </w:p>
        </w:tc>
      </w:tr>
      <w:tr>
        <w:trPr/>
        <w:tc>
          <w:tcPr>
            <w:tcW w:w="5760"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If the engagement team planned to place reliance on controls and to test the operating effectiveness of controls, the engagement team assessed control risk. If the engagement team did not plan to test the operating effectiveness of controls, assessment of control risk was such that, assessment of the risk of material misstatement was the same as the assessment of inherent risk.</w:t>
            </w:r>
          </w:p>
        </w:tc>
        <w:tc>
          <w:tcPr>
            <w:tcW w:w="1799" w:type="dxa"/>
            <w:vMerge w:val="continue"/>
            <w:tcBorders/>
            <w:shd w:fill="auto" w:val="clear"/>
          </w:tcPr>
          <w:p>
            <w:pPr>
              <w:pStyle w:val="ListParagraph"/>
              <w:spacing w:lineRule="auto" w:line="240" w:before="0" w:after="0"/>
              <w:ind w:left="360" w:hanging="0"/>
              <w:contextualSpacing/>
              <w:jc w:val="both"/>
              <w:rPr>
                <w:rFonts w:ascii="Arial" w:hAnsi="Arial" w:cs="Arial"/>
                <w:sz w:val="20"/>
                <w:szCs w:val="20"/>
              </w:rPr>
            </w:pPr>
            <w:r>
              <w:rPr>
                <w:rFonts w:cs="Arial" w:ascii="Arial" w:hAnsi="Arial"/>
                <w:sz w:val="20"/>
                <w:szCs w:val="20"/>
              </w:rPr>
            </w:r>
          </w:p>
        </w:tc>
        <w:tc>
          <w:tcPr>
            <w:tcW w:w="1801" w:type="dxa"/>
            <w:vMerge w:val="continue"/>
            <w:tcBorders/>
            <w:shd w:fill="auto" w:val="clear"/>
          </w:tcPr>
          <w:p>
            <w:pPr>
              <w:pStyle w:val="ListParagraph"/>
              <w:spacing w:lineRule="auto" w:line="240" w:before="0" w:after="0"/>
              <w:ind w:left="360" w:hanging="0"/>
              <w:contextualSpacing/>
              <w:jc w:val="both"/>
              <w:rPr>
                <w:rFonts w:ascii="Arial" w:hAnsi="Arial" w:cs="Arial"/>
                <w:sz w:val="20"/>
                <w:szCs w:val="20"/>
              </w:rPr>
            </w:pPr>
            <w:r>
              <w:rPr>
                <w:rFonts w:cs="Arial" w:ascii="Arial" w:hAnsi="Arial"/>
                <w:sz w:val="20"/>
                <w:szCs w:val="20"/>
              </w:rPr>
            </w:r>
          </w:p>
        </w:tc>
      </w:tr>
      <w:tr>
        <w:trPr/>
        <w:tc>
          <w:tcPr>
            <w:tcW w:w="5760"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 xml:space="preserve">With respect to the identification of, and response to, revenue recognition as a significant risk, appropriate procedures including, where appropriate, disaggregated analytics, were planned on important contracts or other sales arrangements with major customers where terms were complex and/or critical, including any side agreements. </w:t>
            </w:r>
          </w:p>
        </w:tc>
        <w:tc>
          <w:tcPr>
            <w:tcW w:w="1799" w:type="dxa"/>
            <w:vMerge w:val="continue"/>
            <w:tcBorders/>
            <w:shd w:fill="auto" w:val="clear"/>
          </w:tcPr>
          <w:p>
            <w:pPr>
              <w:pStyle w:val="ListParagraph"/>
              <w:spacing w:lineRule="auto" w:line="240" w:before="0" w:after="0"/>
              <w:ind w:left="360" w:hanging="0"/>
              <w:contextualSpacing/>
              <w:jc w:val="both"/>
              <w:rPr>
                <w:rFonts w:ascii="Arial" w:hAnsi="Arial" w:cs="Arial"/>
                <w:sz w:val="20"/>
                <w:szCs w:val="20"/>
              </w:rPr>
            </w:pPr>
            <w:r>
              <w:rPr>
                <w:rFonts w:cs="Arial" w:ascii="Arial" w:hAnsi="Arial"/>
                <w:sz w:val="20"/>
                <w:szCs w:val="20"/>
              </w:rPr>
            </w:r>
          </w:p>
        </w:tc>
        <w:tc>
          <w:tcPr>
            <w:tcW w:w="1801" w:type="dxa"/>
            <w:vMerge w:val="continue"/>
            <w:tcBorders/>
            <w:shd w:fill="auto" w:val="clear"/>
          </w:tcPr>
          <w:p>
            <w:pPr>
              <w:pStyle w:val="ListParagraph"/>
              <w:spacing w:lineRule="auto" w:line="240" w:before="0" w:after="0"/>
              <w:ind w:left="360" w:hanging="0"/>
              <w:contextualSpacing/>
              <w:jc w:val="both"/>
              <w:rPr>
                <w:rFonts w:ascii="Arial" w:hAnsi="Arial" w:cs="Arial"/>
                <w:sz w:val="20"/>
                <w:szCs w:val="20"/>
              </w:rPr>
            </w:pPr>
            <w:r>
              <w:rPr>
                <w:rFonts w:cs="Arial" w:ascii="Arial" w:hAnsi="Arial"/>
                <w:sz w:val="20"/>
                <w:szCs w:val="20"/>
              </w:rPr>
            </w:r>
          </w:p>
        </w:tc>
      </w:tr>
      <w:tr>
        <w:trPr/>
        <w:tc>
          <w:tcPr>
            <w:tcW w:w="5760"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Appropriate work was planned on large/unusual transactions, those at or near the year-end, bill and hold transactions, transactions with right of return, extended credit terms or unusual financing arrangements, products vulnerable to rapidly changing technology, and related party transactions.</w:t>
            </w:r>
          </w:p>
        </w:tc>
        <w:tc>
          <w:tcPr>
            <w:tcW w:w="1799" w:type="dxa"/>
            <w:vMerge w:val="continue"/>
            <w:tcBorders/>
            <w:shd w:fill="auto" w:val="clear"/>
          </w:tcPr>
          <w:p>
            <w:pPr>
              <w:pStyle w:val="ListParagraph"/>
              <w:spacing w:lineRule="auto" w:line="240" w:before="0" w:after="0"/>
              <w:ind w:left="360" w:hanging="0"/>
              <w:contextualSpacing/>
              <w:jc w:val="both"/>
              <w:rPr>
                <w:rFonts w:ascii="Arial" w:hAnsi="Arial" w:cs="Arial"/>
                <w:sz w:val="20"/>
                <w:szCs w:val="20"/>
              </w:rPr>
            </w:pPr>
            <w:r>
              <w:rPr>
                <w:rFonts w:cs="Arial" w:ascii="Arial" w:hAnsi="Arial"/>
                <w:sz w:val="20"/>
                <w:szCs w:val="20"/>
              </w:rPr>
            </w:r>
          </w:p>
        </w:tc>
        <w:tc>
          <w:tcPr>
            <w:tcW w:w="1801" w:type="dxa"/>
            <w:vMerge w:val="continue"/>
            <w:tcBorders/>
            <w:shd w:fill="auto" w:val="clear"/>
          </w:tcPr>
          <w:p>
            <w:pPr>
              <w:pStyle w:val="ListParagraph"/>
              <w:spacing w:lineRule="auto" w:line="240" w:before="0" w:after="0"/>
              <w:ind w:left="360" w:hanging="0"/>
              <w:contextualSpacing/>
              <w:jc w:val="both"/>
              <w:rPr>
                <w:rFonts w:ascii="Arial" w:hAnsi="Arial" w:cs="Arial"/>
                <w:sz w:val="20"/>
                <w:szCs w:val="20"/>
              </w:rPr>
            </w:pPr>
            <w:r>
              <w:rPr>
                <w:rFonts w:cs="Arial" w:ascii="Arial" w:hAnsi="Arial"/>
                <w:sz w:val="20"/>
                <w:szCs w:val="20"/>
              </w:rPr>
            </w:r>
          </w:p>
        </w:tc>
      </w:tr>
      <w:tr>
        <w:trPr/>
        <w:tc>
          <w:tcPr>
            <w:tcW w:w="5760"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The engagement team evaluated whether the audit evidence obtained from the risk assessment procedures provided an appropriate basis for the identification and assessment of the risks of material misstatement and performed additional risk assessment procedures until audit evidence was obtained to provide such a basis. In identifying and assessing the risks of material misstatement, the engagement team considered all audit evidence obtained from the risk assessment procedures, whether corroborative or contradictory to assertions made by management.</w:t>
            </w:r>
          </w:p>
        </w:tc>
        <w:tc>
          <w:tcPr>
            <w:tcW w:w="1799" w:type="dxa"/>
            <w:vMerge w:val="continue"/>
            <w:tcBorders/>
            <w:shd w:fill="auto" w:val="clear"/>
          </w:tcPr>
          <w:p>
            <w:pPr>
              <w:pStyle w:val="ListParagraph"/>
              <w:spacing w:lineRule="auto" w:line="240" w:before="0" w:after="0"/>
              <w:ind w:left="360" w:hanging="0"/>
              <w:contextualSpacing/>
              <w:jc w:val="both"/>
              <w:rPr>
                <w:rFonts w:ascii="Arial" w:hAnsi="Arial" w:cs="Arial"/>
                <w:sz w:val="20"/>
                <w:szCs w:val="20"/>
              </w:rPr>
            </w:pPr>
            <w:r>
              <w:rPr>
                <w:rFonts w:cs="Arial" w:ascii="Arial" w:hAnsi="Arial"/>
                <w:sz w:val="20"/>
                <w:szCs w:val="20"/>
              </w:rPr>
            </w:r>
          </w:p>
        </w:tc>
        <w:tc>
          <w:tcPr>
            <w:tcW w:w="1801" w:type="dxa"/>
            <w:vMerge w:val="continue"/>
            <w:tcBorders/>
            <w:shd w:fill="auto" w:val="clear"/>
          </w:tcPr>
          <w:p>
            <w:pPr>
              <w:pStyle w:val="ListParagraph"/>
              <w:spacing w:lineRule="auto" w:line="240" w:before="0" w:after="0"/>
              <w:ind w:left="360" w:hanging="0"/>
              <w:contextualSpacing/>
              <w:jc w:val="both"/>
              <w:rPr>
                <w:rFonts w:ascii="Arial" w:hAnsi="Arial" w:cs="Arial"/>
                <w:sz w:val="20"/>
                <w:szCs w:val="20"/>
              </w:rPr>
            </w:pPr>
            <w:r>
              <w:rPr>
                <w:rFonts w:cs="Arial" w:ascii="Arial" w:hAnsi="Arial"/>
                <w:sz w:val="20"/>
                <w:szCs w:val="20"/>
              </w:rPr>
            </w:r>
          </w:p>
        </w:tc>
      </w:tr>
      <w:tr>
        <w:trPr/>
        <w:tc>
          <w:tcPr>
            <w:tcW w:w="5760"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For material classes of transactions, account balances or disclosures not determined to be significant classes of transactions, account balances or disclosures, the engagement team evaluated whether such determination remains appropriate.</w:t>
            </w:r>
          </w:p>
        </w:tc>
        <w:tc>
          <w:tcPr>
            <w:tcW w:w="1799" w:type="dxa"/>
            <w:vMerge w:val="continue"/>
            <w:tcBorders/>
            <w:shd w:fill="auto" w:val="clear"/>
          </w:tcPr>
          <w:p>
            <w:pPr>
              <w:pStyle w:val="ListParagraph"/>
              <w:spacing w:lineRule="auto" w:line="240" w:before="0" w:after="0"/>
              <w:ind w:left="360" w:hanging="0"/>
              <w:contextualSpacing/>
              <w:jc w:val="both"/>
              <w:rPr>
                <w:rFonts w:ascii="Arial" w:hAnsi="Arial" w:cs="Arial"/>
                <w:sz w:val="20"/>
                <w:szCs w:val="20"/>
              </w:rPr>
            </w:pPr>
            <w:r>
              <w:rPr>
                <w:rFonts w:cs="Arial" w:ascii="Arial" w:hAnsi="Arial"/>
                <w:sz w:val="20"/>
                <w:szCs w:val="20"/>
              </w:rPr>
            </w:r>
          </w:p>
        </w:tc>
        <w:tc>
          <w:tcPr>
            <w:tcW w:w="1801" w:type="dxa"/>
            <w:vMerge w:val="continue"/>
            <w:tcBorders/>
            <w:shd w:fill="auto" w:val="clear"/>
          </w:tcPr>
          <w:p>
            <w:pPr>
              <w:pStyle w:val="ListParagraph"/>
              <w:spacing w:lineRule="auto" w:line="240" w:before="0" w:after="0"/>
              <w:ind w:left="360" w:hanging="0"/>
              <w:contextualSpacing/>
              <w:jc w:val="both"/>
              <w:rPr>
                <w:rFonts w:ascii="Arial" w:hAnsi="Arial" w:cs="Arial"/>
                <w:sz w:val="20"/>
                <w:szCs w:val="20"/>
              </w:rPr>
            </w:pPr>
            <w:r>
              <w:rPr>
                <w:rFonts w:cs="Arial" w:ascii="Arial" w:hAnsi="Arial"/>
                <w:sz w:val="20"/>
                <w:szCs w:val="20"/>
              </w:rPr>
            </w:r>
          </w:p>
        </w:tc>
      </w:tr>
      <w:tr>
        <w:trPr/>
        <w:tc>
          <w:tcPr>
            <w:tcW w:w="5760"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The engagement team appropriately documented identified and assessed risks of material misstatement at the financial statement level and at the assertion level, including significant risks and risks for which substantive procedures alone cannot provide sufficient appropriate audit evidence, and the rationale for the significant judgments made.</w:t>
            </w:r>
          </w:p>
        </w:tc>
        <w:tc>
          <w:tcPr>
            <w:tcW w:w="1799" w:type="dxa"/>
            <w:vMerge w:val="continue"/>
            <w:tcBorders/>
            <w:shd w:fill="auto" w:val="clear"/>
          </w:tcPr>
          <w:p>
            <w:pPr>
              <w:pStyle w:val="ListParagraph"/>
              <w:spacing w:lineRule="auto" w:line="240" w:before="0" w:after="0"/>
              <w:ind w:left="360" w:hanging="0"/>
              <w:contextualSpacing/>
              <w:jc w:val="both"/>
              <w:rPr>
                <w:rFonts w:ascii="Arial" w:hAnsi="Arial" w:cs="Arial"/>
                <w:sz w:val="20"/>
                <w:szCs w:val="20"/>
              </w:rPr>
            </w:pPr>
            <w:r>
              <w:rPr>
                <w:rFonts w:cs="Arial" w:ascii="Arial" w:hAnsi="Arial"/>
                <w:sz w:val="20"/>
                <w:szCs w:val="20"/>
              </w:rPr>
            </w:r>
          </w:p>
        </w:tc>
        <w:tc>
          <w:tcPr>
            <w:tcW w:w="1801" w:type="dxa"/>
            <w:vMerge w:val="continue"/>
            <w:tcBorders/>
            <w:shd w:fill="auto" w:val="clear"/>
          </w:tcPr>
          <w:p>
            <w:pPr>
              <w:pStyle w:val="ListParagraph"/>
              <w:spacing w:lineRule="auto" w:line="240" w:before="0" w:after="0"/>
              <w:ind w:left="360" w:hanging="0"/>
              <w:contextualSpacing/>
              <w:jc w:val="both"/>
              <w:rPr>
                <w:rFonts w:ascii="Arial" w:hAnsi="Arial" w:cs="Arial"/>
                <w:sz w:val="20"/>
                <w:szCs w:val="20"/>
              </w:rPr>
            </w:pPr>
            <w:r>
              <w:rPr>
                <w:rFonts w:cs="Arial" w:ascii="Arial" w:hAnsi="Arial"/>
                <w:sz w:val="20"/>
                <w:szCs w:val="20"/>
              </w:rPr>
            </w:r>
          </w:p>
        </w:tc>
      </w:tr>
      <w:tr>
        <w:trPr/>
        <w:tc>
          <w:tcPr>
            <w:tcW w:w="5760"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The engagement team ensured that the risk assessment document remains appropriate and remained alert to any new information inconsistent with the audit evidence on which the engagement team originally based the identification or assessments of the risks of material misstatement.</w:t>
            </w:r>
          </w:p>
        </w:tc>
        <w:tc>
          <w:tcPr>
            <w:tcW w:w="1799" w:type="dxa"/>
            <w:vMerge w:val="continue"/>
            <w:tcBorders/>
            <w:shd w:fill="auto" w:val="clear"/>
          </w:tcPr>
          <w:p>
            <w:pPr>
              <w:pStyle w:val="ListParagraph"/>
              <w:spacing w:lineRule="auto" w:line="240" w:before="0" w:after="0"/>
              <w:ind w:left="360" w:hanging="0"/>
              <w:contextualSpacing/>
              <w:jc w:val="both"/>
              <w:rPr>
                <w:rFonts w:ascii="Arial" w:hAnsi="Arial" w:cs="Arial"/>
                <w:sz w:val="20"/>
                <w:szCs w:val="20"/>
              </w:rPr>
            </w:pPr>
            <w:r>
              <w:rPr>
                <w:rFonts w:cs="Arial" w:ascii="Arial" w:hAnsi="Arial"/>
                <w:sz w:val="20"/>
                <w:szCs w:val="20"/>
              </w:rPr>
            </w:r>
          </w:p>
        </w:tc>
        <w:tc>
          <w:tcPr>
            <w:tcW w:w="1801" w:type="dxa"/>
            <w:vMerge w:val="continue"/>
            <w:tcBorders/>
            <w:shd w:fill="auto" w:val="clear"/>
          </w:tcPr>
          <w:p>
            <w:pPr>
              <w:pStyle w:val="ListParagraph"/>
              <w:spacing w:lineRule="auto" w:line="240" w:before="0" w:after="0"/>
              <w:ind w:left="360" w:hanging="0"/>
              <w:contextualSpacing/>
              <w:jc w:val="both"/>
              <w:rPr>
                <w:rFonts w:ascii="Arial" w:hAnsi="Arial" w:cs="Arial"/>
                <w:sz w:val="20"/>
                <w:szCs w:val="20"/>
              </w:rPr>
            </w:pPr>
            <w:r>
              <w:rPr>
                <w:rFonts w:cs="Arial" w:ascii="Arial" w:hAnsi="Arial"/>
                <w:sz w:val="20"/>
                <w:szCs w:val="20"/>
              </w:rPr>
            </w:r>
          </w:p>
        </w:tc>
      </w:tr>
    </w:tbl>
    <w:p>
      <w:pPr>
        <w:pStyle w:val="Normal"/>
        <w:spacing w:lineRule="auto" w:line="240" w:before="0" w:after="160"/>
        <w:jc w:val="both"/>
        <w:rPr/>
      </w:pPr>
      <w:r>
        <w:rPr/>
      </w:r>
    </w:p>
    <w:sectPr>
      <w:headerReference w:type="default" r:id="rId3"/>
      <w:footerReference w:type="default" r:id="rId4"/>
      <w:type w:val="nextPage"/>
      <w:pgSz w:w="12240" w:h="15840"/>
      <w:pgMar w:left="1440" w:right="1440" w:header="72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roman"/>
    <w:pitch w:val="variable"/>
  </w:font>
  <w:font w:name="Times New Roman">
    <w:charset w:val="01"/>
    <w:family w:val="auto"/>
    <w:pitch w:val="default"/>
  </w:font>
  <w:font w:name="Wingdings">
    <w:charset w:val="02"/>
    <w:family w:val="auto"/>
    <w:pitch w:val="default"/>
  </w:font>
  <w:font w:name="Symbol">
    <w:charset w:val="02"/>
    <w:family w:val="auto"/>
    <w:pitch w:val="default"/>
  </w:font>
  <w:font w:name="Courier New">
    <w:charset w:val="01"/>
    <w:family w:val="auto"/>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893044067"/>
    </w:sdtPr>
    <w:sdtContent>
      <w:p>
        <w:pPr>
          <w:pStyle w:val="Footer"/>
          <w:jc w:val="center"/>
          <w:rPr/>
        </w:pPr>
        <w:r>
          <w:rPr>
            <w:rFonts w:cs="Arial" w:ascii="Arial" w:hAnsi="Arial"/>
            <w:sz w:val="24"/>
            <w:szCs w:val="24"/>
          </w:rPr>
          <w:fldChar w:fldCharType="begin"/>
        </w:r>
        <w:r>
          <w:rPr>
            <w:sz w:val="24"/>
            <w:szCs w:val="24"/>
            <w:rFonts w:cs="Arial" w:ascii="Arial" w:hAnsi="Arial"/>
          </w:rPr>
          <w:instrText> PAGE </w:instrText>
        </w:r>
        <w:r>
          <w:rPr>
            <w:sz w:val="24"/>
            <w:szCs w:val="24"/>
            <w:rFonts w:cs="Arial" w:ascii="Arial" w:hAnsi="Arial"/>
          </w:rPr>
          <w:fldChar w:fldCharType="separate"/>
        </w:r>
        <w:r>
          <w:rPr>
            <w:sz w:val="24"/>
            <w:szCs w:val="24"/>
            <w:rFonts w:cs="Arial" w:ascii="Arial" w:hAnsi="Arial"/>
          </w:rPr>
          <w:t>3</w:t>
        </w:r>
        <w:r>
          <w:rPr>
            <w:sz w:val="24"/>
            <w:szCs w:val="24"/>
            <w:rFonts w:cs="Arial" w:ascii="Arial" w:hAnsi="Arial"/>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mc:AlternateContent>
        <mc:Choice Requires="wpg">
          <w:drawing>
            <wp:anchor behindDoc="1" distT="0" distB="0" distL="114300" distR="114300" simplePos="0" locked="0" layoutInCell="1" allowOverlap="1" relativeHeight="4" wp14:anchorId="1699B376">
              <wp:simplePos x="0" y="0"/>
              <wp:positionH relativeFrom="margin">
                <wp:align>center</wp:align>
              </wp:positionH>
              <wp:positionV relativeFrom="paragraph">
                <wp:posOffset>-353060</wp:posOffset>
              </wp:positionV>
              <wp:extent cx="6529705" cy="706120"/>
              <wp:effectExtent l="0" t="0" r="5715" b="0"/>
              <wp:wrapNone/>
              <wp:docPr id="1" name="Group 5"/>
              <a:graphic xmlns:a="http://schemas.openxmlformats.org/drawingml/2006/main">
                <a:graphicData uri="http://schemas.microsoft.com/office/word/2010/wordprocessingGroup">
                  <wpg:wgp>
                    <wpg:cNvGrpSpPr/>
                    <wpg:grpSpPr>
                      <a:xfrm>
                        <a:off x="0" y="0"/>
                        <a:ext cx="6528960" cy="705600"/>
                      </a:xfrm>
                    </wpg:grpSpPr>
                    <wps:wsp>
                      <wps:cNvSpPr/>
                      <wps:spPr>
                        <a:xfrm>
                          <a:off x="0" y="0"/>
                          <a:ext cx="3769920" cy="705600"/>
                        </a:xfrm>
                        <a:prstGeom prst="rect">
                          <a:avLst/>
                        </a:prstGeom>
                        <a:solidFill>
                          <a:srgbClr val="ffffff"/>
                        </a:solidFill>
                        <a:ln w="9360">
                          <a:noFill/>
                        </a:ln>
                      </wps:spPr>
                      <wps:style>
                        <a:lnRef idx="0"/>
                        <a:fillRef idx="0"/>
                        <a:effectRef idx="0"/>
                        <a:fontRef idx="minor"/>
                      </wps:style>
                      <wps:txbx>
                        <w:txbxContent>
                          <w:p>
                            <w:pPr>
                              <w:overflowPunct w:val="false"/>
                              <w:spacing w:before="0" w:after="0" w:lineRule="auto" w:line="240"/>
                              <w:jc w:val="left"/>
                              <w:rPr/>
                            </w:pPr>
                            <w:r>
                              <w:rPr>
                                <w:sz w:val="28"/>
                                <w:b/>
                                <w:u w:val="none"/>
                                <w:dstrike w:val="false"/>
                                <w:strike w:val="false"/>
                                <w:i w:val="false"/>
                                <w:vertAlign w:val="baseline"/>
                                <w:position w:val="0"/>
                                <w:spacing w:val="0"/>
                                <w:szCs w:val="28"/>
                                <w:bCs/>
                                <w:iCs w:val="false"/>
                                <w:smallCaps w:val="false"/>
                                <w:caps w:val="false"/>
                                <w:rFonts w:asciiTheme="minorHAnsi" w:cstheme="minorBidi" w:eastAsiaTheme="minorHAnsi" w:hAnsiTheme="minorHAnsi" w:ascii="Times New Roman" w:hAnsi="Times New Roman"/>
                                <w:color w:val="000000"/>
                              </w:rPr>
                              <w:t>Muniff Ziauddin &amp; Co.</w:t>
                            </w:r>
                          </w:p>
                          <w:p>
                            <w:pPr>
                              <w:overflowPunct w:val="false"/>
                              <w:spacing w:before="0" w:after="0" w:lineRule="auto" w:line="240"/>
                              <w:jc w:val="left"/>
                              <w:rPr/>
                            </w:pPr>
                            <w:r>
                              <w:rPr>
                                <w:sz w:val="22"/>
                                <w:b/>
                                <w:u w:val="none"/>
                                <w:dstrike w:val="false"/>
                                <w:strike w:val="false"/>
                                <w:i w:val="false"/>
                                <w:vertAlign w:val="baseline"/>
                                <w:position w:val="0"/>
                                <w:spacing w:val="0"/>
                                <w:szCs w:val="22"/>
                                <w:bCs/>
                                <w:iCs w:val="false"/>
                                <w:smallCaps w:val="false"/>
                                <w:caps w:val="false"/>
                                <w:rFonts w:asciiTheme="minorHAnsi" w:cstheme="minorBidi" w:eastAsiaTheme="minorHAnsi" w:hAnsiTheme="minorHAnsi" w:ascii="Times New Roman" w:hAnsi="Times New Roman"/>
                                <w:color w:val="000000"/>
                              </w:rPr>
                              <w:t>Chartered Accountants</w:t>
                            </w:r>
                          </w:p>
                          <w:p>
                            <w:pPr>
                              <w:overflowPunct w:val="false"/>
                              <w:spacing w:before="0" w:after="0" w:lineRule="auto" w:line="240"/>
                              <w:jc w:val="left"/>
                              <w:rPr/>
                            </w:pPr>
                            <w:r>
                              <w:rPr>
                                <w:sz w:val="18"/>
                                <w:b/>
                                <w:u w:val="none"/>
                                <w:dstrike w:val="false"/>
                                <w:strike w:val="false"/>
                                <w:i w:val="false"/>
                                <w:vertAlign w:val="baseline"/>
                                <w:position w:val="0"/>
                                <w:spacing w:val="0"/>
                                <w:szCs w:val="18"/>
                                <w:bCs/>
                                <w:iCs w:val="false"/>
                                <w:smallCaps w:val="false"/>
                                <w:caps w:val="false"/>
                                <w:rFonts w:asciiTheme="minorHAnsi" w:cstheme="minorBidi" w:eastAsiaTheme="minorHAnsi" w:hAnsiTheme="minorHAnsi" w:ascii="Times New Roman" w:hAnsi="Times New Roman"/>
                                <w:color w:val="000000"/>
                              </w:rPr>
                              <w:t>An independent member firm of BKR International</w:t>
                            </w:r>
                          </w:p>
                          <w:p>
                            <w:pPr>
                              <w:overflowPunct w:val="false"/>
                              <w:spacing w:before="0" w:after="0" w:lineRule="auto" w:line="240"/>
                              <w:jc w:val="left"/>
                              <w:rPr/>
                            </w:pPr>
                            <w:r>
                              <w:rPr>
                                <w:rFonts w:asciiTheme="minorHAnsi" w:cstheme="minorBidi" w:eastAsiaTheme="minorHAnsi" w:hAnsiTheme="minorHAnsi"/>
                              </w:rPr>
                            </w:r>
                          </w:p>
                        </w:txbxContent>
                      </wps:txbx>
                      <wps:bodyPr lIns="90000" rIns="90000" tIns="45000" bIns="45000" anchor="ctr">
                        <a:noAutofit/>
                      </wps:bodyPr>
                    </wps:wsp>
                    <pic:pic xmlns:pic="http://schemas.openxmlformats.org/drawingml/2006/picture">
                      <pic:nvPicPr>
                        <pic:cNvPr id="0" name="Picture 3" descr=""/>
                        <pic:cNvPicPr/>
                      </pic:nvPicPr>
                      <pic:blipFill>
                        <a:blip r:embed="rId1"/>
                        <a:srcRect l="5759" t="28463" r="5649" b="28450"/>
                        <a:stretch/>
                      </pic:blipFill>
                      <pic:spPr>
                        <a:xfrm>
                          <a:off x="5478840" y="71640"/>
                          <a:ext cx="1050120" cy="519480"/>
                        </a:xfrm>
                        <a:prstGeom prst="rect">
                          <a:avLst/>
                        </a:prstGeom>
                        <a:ln>
                          <a:noFill/>
                        </a:ln>
                      </pic:spPr>
                    </pic:pic>
                  </wpg:wgp>
                </a:graphicData>
              </a:graphic>
            </wp:anchor>
          </w:drawing>
        </mc:Choice>
        <mc:Fallback>
          <w:pict>
            <v:group id="shape_0" alt="Group 5" style="position:absolute;margin-left:-23.05pt;margin-top:-27.8pt;width:514.1pt;height:55.55pt" coordorigin="-461,-556" coordsize="10282,1111">
              <v:rect id="shape_0" fillcolor="white" stroked="f" style="position:absolute;left:-461;top:-556;width:5936;height:1110;mso-position-horizontal:center;mso-position-horizontal-relative:margin">
                <v:textbox>
                  <w:txbxContent>
                    <w:p>
                      <w:pPr>
                        <w:overflowPunct w:val="false"/>
                        <w:spacing w:before="0" w:after="0" w:lineRule="auto" w:line="240"/>
                        <w:jc w:val="left"/>
                        <w:rPr/>
                      </w:pPr>
                      <w:r>
                        <w:rPr>
                          <w:sz w:val="28"/>
                          <w:b/>
                          <w:u w:val="none"/>
                          <w:dstrike w:val="false"/>
                          <w:strike w:val="false"/>
                          <w:i w:val="false"/>
                          <w:vertAlign w:val="baseline"/>
                          <w:position w:val="0"/>
                          <w:spacing w:val="0"/>
                          <w:szCs w:val="28"/>
                          <w:bCs/>
                          <w:iCs w:val="false"/>
                          <w:smallCaps w:val="false"/>
                          <w:caps w:val="false"/>
                          <w:rFonts w:asciiTheme="minorHAnsi" w:cstheme="minorBidi" w:eastAsiaTheme="minorHAnsi" w:hAnsiTheme="minorHAnsi" w:ascii="Times New Roman" w:hAnsi="Times New Roman"/>
                          <w:color w:val="000000"/>
                        </w:rPr>
                        <w:t>Muniff Ziauddin &amp; Co.</w:t>
                      </w:r>
                    </w:p>
                    <w:p>
                      <w:pPr>
                        <w:overflowPunct w:val="false"/>
                        <w:spacing w:before="0" w:after="0" w:lineRule="auto" w:line="240"/>
                        <w:jc w:val="left"/>
                        <w:rPr/>
                      </w:pPr>
                      <w:r>
                        <w:rPr>
                          <w:sz w:val="22"/>
                          <w:b/>
                          <w:u w:val="none"/>
                          <w:dstrike w:val="false"/>
                          <w:strike w:val="false"/>
                          <w:i w:val="false"/>
                          <w:vertAlign w:val="baseline"/>
                          <w:position w:val="0"/>
                          <w:spacing w:val="0"/>
                          <w:szCs w:val="22"/>
                          <w:bCs/>
                          <w:iCs w:val="false"/>
                          <w:smallCaps w:val="false"/>
                          <w:caps w:val="false"/>
                          <w:rFonts w:asciiTheme="minorHAnsi" w:cstheme="minorBidi" w:eastAsiaTheme="minorHAnsi" w:hAnsiTheme="minorHAnsi" w:ascii="Times New Roman" w:hAnsi="Times New Roman"/>
                          <w:color w:val="000000"/>
                        </w:rPr>
                        <w:t>Chartered Accountants</w:t>
                      </w:r>
                    </w:p>
                    <w:p>
                      <w:pPr>
                        <w:overflowPunct w:val="false"/>
                        <w:spacing w:before="0" w:after="0" w:lineRule="auto" w:line="240"/>
                        <w:jc w:val="left"/>
                        <w:rPr/>
                      </w:pPr>
                      <w:r>
                        <w:rPr>
                          <w:sz w:val="18"/>
                          <w:b/>
                          <w:u w:val="none"/>
                          <w:dstrike w:val="false"/>
                          <w:strike w:val="false"/>
                          <w:i w:val="false"/>
                          <w:vertAlign w:val="baseline"/>
                          <w:position w:val="0"/>
                          <w:spacing w:val="0"/>
                          <w:szCs w:val="18"/>
                          <w:bCs/>
                          <w:iCs w:val="false"/>
                          <w:smallCaps w:val="false"/>
                          <w:caps w:val="false"/>
                          <w:rFonts w:asciiTheme="minorHAnsi" w:cstheme="minorBidi" w:eastAsiaTheme="minorHAnsi" w:hAnsiTheme="minorHAnsi" w:ascii="Times New Roman" w:hAnsi="Times New Roman"/>
                          <w:color w:val="000000"/>
                        </w:rPr>
                        <w:t>An independent member firm of BKR International</w:t>
                      </w:r>
                    </w:p>
                    <w:p>
                      <w:pPr>
                        <w:overflowPunct w:val="false"/>
                        <w:spacing w:before="0" w:after="0" w:lineRule="auto" w:line="240"/>
                        <w:jc w:val="left"/>
                        <w:rPr/>
                      </w:pPr>
                      <w:r>
                        <w:rPr>
                          <w:rFonts w:asciiTheme="minorHAnsi" w:cstheme="minorBidi" w:eastAsiaTheme="minorHAnsi" w:hAnsiTheme="minorHAnsi"/>
                        </w:rPr>
                      </w:r>
                    </w:p>
                  </w:txbxContent>
                </v:textbox>
                <w10:wrap type="square"/>
                <v:fill o:detectmouseclick="t" type="solid" color2="black"/>
                <v:stroke color="#3465a4" weight="9360" joinstyle="round" endcap="flat"/>
              </v:re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3" stroked="f" style="position:absolute;left:8167;top:-443;width:1653;height:817;mso-position-horizontal:center;mso-position-horizontal-relative:margin" type="shapetype_75">
                <v:imagedata r:id="rId1" o:detectmouseclick="t"/>
                <w10:wrap type="none"/>
                <v:stroke color="#3465a4" joinstyle="round" endcap="flat"/>
              </v:shape>
            </v:group>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lowerLetter"/>
      <w:lvlText w:val="%2)"/>
      <w:lvlJc w:val="left"/>
      <w:pPr>
        <w:ind w:left="720" w:hanging="360"/>
      </w:p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2">
    <w:lvl w:ilvl="0">
      <w:start w:val="1"/>
      <w:numFmt w:val="lowerLetter"/>
      <w:lvlText w:val="%1)"/>
      <w:lvlJc w:val="left"/>
      <w:pPr>
        <w:ind w:left="720" w:hanging="360"/>
      </w:p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3956bb"/>
    <w:pPr>
      <w:widowControl/>
      <w:bidi w:val="0"/>
      <w:spacing w:lineRule="auto" w:line="252"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3956bb"/>
    <w:rPr>
      <w:color w:val="0563C1" w:themeColor="hyperlink"/>
      <w:u w:val="single"/>
    </w:rPr>
  </w:style>
  <w:style w:type="character" w:styleId="FollowedHyperlink">
    <w:name w:val="FollowedHyperlink"/>
    <w:basedOn w:val="DefaultParagraphFont"/>
    <w:uiPriority w:val="99"/>
    <w:semiHidden/>
    <w:unhideWhenUsed/>
    <w:qFormat/>
    <w:rsid w:val="004b53a4"/>
    <w:rPr>
      <w:color w:val="954F72" w:themeColor="followedHyperlink"/>
      <w:u w:val="single"/>
    </w:rPr>
  </w:style>
  <w:style w:type="character" w:styleId="HeaderChar" w:customStyle="1">
    <w:name w:val="Header Char"/>
    <w:basedOn w:val="DefaultParagraphFont"/>
    <w:link w:val="Header"/>
    <w:uiPriority w:val="99"/>
    <w:qFormat/>
    <w:rsid w:val="00b301a1"/>
    <w:rPr/>
  </w:style>
  <w:style w:type="character" w:styleId="FooterChar" w:customStyle="1">
    <w:name w:val="Footer Char"/>
    <w:basedOn w:val="DefaultParagraphFont"/>
    <w:link w:val="Footer"/>
    <w:uiPriority w:val="99"/>
    <w:qFormat/>
    <w:rsid w:val="00b301a1"/>
    <w:rPr/>
  </w:style>
  <w:style w:type="character" w:styleId="ListLabel1">
    <w:name w:val="ListLabel 1"/>
    <w:qFormat/>
    <w:rPr>
      <w:rFonts w:eastAsia="" w:cs=""/>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eastAsia="" w:cs=""/>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eastAsia="" w:cs=""/>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eastAsia="" w:cs=""/>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ascii="Arial" w:hAnsi="Arial" w:cs="Arial"/>
      <w:b/>
      <w:sz w:val="20"/>
      <w:szCs w:val="20"/>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Courier New"/>
    </w:rPr>
  </w:style>
  <w:style w:type="character" w:styleId="ListLabel29">
    <w:name w:val="ListLabel 29"/>
    <w:qFormat/>
    <w:rPr>
      <w:rFonts w:cs="Wingdings"/>
    </w:rPr>
  </w:style>
  <w:style w:type="character" w:styleId="ListLabel30">
    <w:name w:val="ListLabel 30"/>
    <w:qFormat/>
    <w:rPr>
      <w:rFonts w:cs="Symbol"/>
    </w:rPr>
  </w:style>
  <w:style w:type="character" w:styleId="ListLabel31">
    <w:name w:val="ListLabel 31"/>
    <w:qFormat/>
    <w:rPr>
      <w:rFonts w:cs="Courier New"/>
    </w:rPr>
  </w:style>
  <w:style w:type="character" w:styleId="ListLabel32">
    <w:name w:val="ListLabel 32"/>
    <w:qFormat/>
    <w:rPr>
      <w:rFonts w:cs="Wingdings"/>
    </w:rPr>
  </w:style>
  <w:style w:type="character" w:styleId="ListLabel33">
    <w:name w:val="ListLabel 33"/>
    <w:qFormat/>
    <w:rPr>
      <w:rFonts w:cs="Symbol"/>
    </w:rPr>
  </w:style>
  <w:style w:type="character" w:styleId="ListLabel34">
    <w:name w:val="ListLabel 34"/>
    <w:qFormat/>
    <w:rPr>
      <w:rFonts w:cs="Courier New"/>
    </w:rPr>
  </w:style>
  <w:style w:type="character" w:styleId="ListLabel35">
    <w:name w:val="ListLabel 35"/>
    <w:qFormat/>
    <w:rPr>
      <w:rFonts w:cs="Wingdings"/>
    </w:rPr>
  </w:style>
  <w:style w:type="character" w:styleId="ListLabel36">
    <w:name w:val="ListLabel 36"/>
    <w:qFormat/>
    <w:rPr>
      <w:rFonts w:ascii="Arial" w:hAnsi="Arial" w:cs="Arial"/>
      <w:b/>
      <w:sz w:val="20"/>
      <w:szCs w:val="20"/>
    </w:rPr>
  </w:style>
  <w:style w:type="paragraph" w:styleId="Heading">
    <w:name w:val="Heading"/>
    <w:basedOn w:val="Normal"/>
    <w:next w:val="TextBody"/>
    <w:qFormat/>
    <w:pPr>
      <w:keepNext w:val="true"/>
      <w:spacing w:before="240" w:after="120"/>
    </w:pPr>
    <w:rPr>
      <w:rFonts w:ascii="Liberation Sans" w:hAnsi="Liberation Sans" w:eastAsia="WenQuanYi Micro Hei"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3956bb"/>
    <w:pPr>
      <w:spacing w:before="0" w:after="160"/>
      <w:ind w:left="720" w:hanging="0"/>
      <w:contextualSpacing/>
    </w:pPr>
    <w:rPr/>
  </w:style>
  <w:style w:type="paragraph" w:styleId="Header">
    <w:name w:val="Header"/>
    <w:basedOn w:val="Normal"/>
    <w:link w:val="HeaderChar"/>
    <w:uiPriority w:val="99"/>
    <w:unhideWhenUsed/>
    <w:rsid w:val="00b301a1"/>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b301a1"/>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4a117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G:/My%20Drive/MZCO/Audit%20Manual/1.%20Planning/9%20Risk%20Assessment/Risk%20Assessment%20Document.docx"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387</TotalTime>
  <Application>LibreOffice/6.1.5.2$Linux_X86_64 LibreOffice_project/10$Build-2</Application>
  <Pages>3</Pages>
  <Words>782</Words>
  <Characters>4703</Characters>
  <CharactersWithSpaces>5426</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2022-06-26T09:17:00Z</dcterms:created>
  <dc:creator>Maham Moin</dc:creator>
  <dc:description/>
  <dc:language>en-US</dc:language>
  <cp:lastModifiedBy/>
  <dcterms:modified xsi:type="dcterms:W3CDTF">2022-09-21T15:49:20Z</dcterms:modified>
  <cp:revision>54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