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eastAsia="Times New Roman" w:cs="Arial"/>
                <w:b/>
                <w:b/>
                <w:bCs/>
                <w:sz w:val="20"/>
                <w:szCs w:val="20"/>
              </w:rPr>
            </w:pPr>
            <w:r>
              <w:rPr>
                <w:rFonts w:eastAsia="Times New Roman" w:cs="Arial" w:ascii="Arial" w:hAnsi="Arial"/>
                <w:b/>
                <w:bCs/>
                <w:sz w:val="20"/>
                <w:szCs w:val="20"/>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jc w:val="both"/>
              <w:rPr/>
            </w:pPr>
            <w:bookmarkStart w:id="0" w:name="__DdeLink__3423_4287769578"/>
            <w:bookmarkStart w:id="1" w:name="__DdeLink__18962_3283385913"/>
            <w:r>
              <w:rPr>
                <w:rFonts w:eastAsia="Calibri" w:cs="Arial" w:ascii="Arial" w:hAnsi="Arial"/>
                <w:b/>
                <w:bCs/>
                <w:sz w:val="20"/>
                <w:szCs w:val="20"/>
              </w:rPr>
              <w:t>$</w:t>
            </w:r>
            <w:bookmarkEnd w:id="1"/>
            <w:r>
              <w:rPr>
                <w:rFonts w:eastAsia="Calibri" w:cs="Arial" w:ascii="Arial" w:hAnsi="Arial"/>
                <w:b/>
                <w:bCs/>
                <w:sz w:val="20"/>
                <w:szCs w:val="20"/>
              </w:rPr>
              <w:t>{client}</w:t>
            </w:r>
            <w:bookmarkEnd w:id="0"/>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eastAsia="Times New Roman" w:cs="Arial"/>
                <w:b/>
                <w:b/>
                <w:bCs/>
                <w:sz w:val="20"/>
                <w:szCs w:val="20"/>
              </w:rPr>
            </w:pPr>
            <w:r>
              <w:rPr>
                <w:rFonts w:eastAsia="Times New Roman" w:cs="Arial" w:ascii="Arial" w:hAnsi="Arial"/>
                <w:b/>
                <w:bCs/>
                <w:sz w:val="20"/>
                <w:szCs w:val="20"/>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jc w:val="both"/>
              <w:rPr/>
            </w:pPr>
            <w:r>
              <w:rPr>
                <w:rFonts w:eastAsia="Calibri" w:cs="Arial" w:ascii="Arial" w:hAnsi="Arial"/>
                <w:b/>
                <w:bCs/>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eastAsia="Times New Roman" w:cs="Arial"/>
                <w:b/>
                <w:b/>
                <w:bCs/>
                <w:sz w:val="20"/>
                <w:szCs w:val="20"/>
              </w:rPr>
            </w:pPr>
            <w:r>
              <w:rPr>
                <w:rFonts w:eastAsia="Times New Roman" w:cs="Arial" w:ascii="Arial" w:hAnsi="Arial"/>
                <w:b/>
                <w:bCs/>
                <w:sz w:val="20"/>
                <w:szCs w:val="20"/>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Arial" w:hAnsi="Arial" w:eastAsia="Times New Roman" w:cs="Arial"/>
                <w:b/>
                <w:b/>
                <w:bCs/>
                <w:sz w:val="20"/>
                <w:szCs w:val="20"/>
              </w:rPr>
            </w:pPr>
            <w:r>
              <w:rPr>
                <w:rFonts w:eastAsia="Times New Roman"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eastAsia="Times New Roman" w:cs="Arial"/>
                <w:b/>
                <w:b/>
                <w:bCs/>
                <w:sz w:val="20"/>
                <w:szCs w:val="20"/>
              </w:rPr>
            </w:pPr>
            <w:r>
              <w:rPr>
                <w:rFonts w:eastAsia="Times New Roman" w:cs="Arial" w:ascii="Arial" w:hAnsi="Arial"/>
                <w:b/>
                <w:bCs/>
                <w:sz w:val="20"/>
                <w:szCs w:val="20"/>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sz w:val="20"/>
                <w:szCs w:val="20"/>
              </w:rPr>
              <w:t>${user}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eastAsia="Times New Roman" w:cs="Arial"/>
                <w:b/>
                <w:b/>
                <w:sz w:val="20"/>
                <w:szCs w:val="20"/>
              </w:rPr>
            </w:pPr>
            <w:r>
              <w:rPr>
                <w:rFonts w:eastAsia="Times New Roman"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eastAsia="Times New Roman" w:cs="Arial"/>
                <w:b/>
                <w:b/>
                <w:bCs/>
                <w:sz w:val="20"/>
                <w:szCs w:val="20"/>
              </w:rPr>
            </w:pPr>
            <w:r>
              <w:rPr>
                <w:rFonts w:eastAsia="Times New Roman" w:cs="Arial" w:ascii="Arial" w:hAnsi="Arial"/>
                <w:b/>
                <w:bCs/>
                <w:sz w:val="20"/>
                <w:szCs w:val="20"/>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sz w:val="20"/>
                <w:szCs w:val="20"/>
              </w:rPr>
              <w:t>${manager}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eastAsia="Times New Roman" w:cs="Arial"/>
                <w:b/>
                <w:b/>
                <w:sz w:val="20"/>
                <w:szCs w:val="20"/>
              </w:rPr>
            </w:pPr>
            <w:r>
              <w:rPr>
                <w:rFonts w:eastAsia="Times New Roman"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eastAsia="Times New Roman" w:cs="Arial"/>
                <w:b/>
                <w:b/>
                <w:bCs/>
                <w:sz w:val="20"/>
                <w:szCs w:val="20"/>
              </w:rPr>
            </w:pPr>
            <w:r>
              <w:rPr>
                <w:rFonts w:eastAsia="Times New Roman" w:cs="Arial" w:ascii="Arial" w:hAnsi="Arial"/>
                <w:b/>
                <w:bCs/>
                <w:sz w:val="20"/>
                <w:szCs w:val="20"/>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sz w:val="20"/>
                <w:szCs w:val="20"/>
              </w:rPr>
              <w:t>${partner}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eastAsia="Times New Roman" w:cs="Arial"/>
                <w:b/>
                <w:b/>
                <w:sz w:val="20"/>
                <w:szCs w:val="20"/>
              </w:rPr>
            </w:pPr>
            <w:r>
              <w:rPr>
                <w:rFonts w:eastAsia="Times New Roman" w:cs="Arial" w:ascii="Arial" w:hAnsi="Arial"/>
                <w:b/>
                <w:sz w:val="20"/>
                <w:szCs w:val="20"/>
              </w:rPr>
              <w:t>Date:</w:t>
            </w:r>
          </w:p>
        </w:tc>
      </w:tr>
    </w:tbl>
    <w:p>
      <w:pPr>
        <w:pStyle w:val="Normal"/>
        <w:spacing w:before="240" w:after="160"/>
        <w:rPr>
          <w:rFonts w:ascii="Arial" w:hAnsi="Arial" w:cs="Arial"/>
          <w:sz w:val="20"/>
          <w:szCs w:val="20"/>
        </w:rPr>
      </w:pPr>
      <w:r>
        <w:rPr>
          <w:rFonts w:cs="Arial" w:ascii="Arial" w:hAnsi="Arial"/>
          <w:sz w:val="20"/>
          <w:szCs w:val="20"/>
        </w:rPr>
      </w:r>
    </w:p>
    <w:p>
      <w:pPr>
        <w:pStyle w:val="Normal"/>
        <w:keepNext w:val="true"/>
        <w:keepLines/>
        <w:numPr>
          <w:ilvl w:val="0"/>
          <w:numId w:val="0"/>
        </w:numPr>
        <w:spacing w:lineRule="auto" w:line="240" w:before="240" w:after="160"/>
        <w:outlineLvl w:val="0"/>
        <w:rPr>
          <w:rFonts w:ascii="Arial" w:hAnsi="Arial" w:eastAsia="Times New Roman" w:cs="Arial"/>
          <w:b/>
          <w:b/>
          <w:sz w:val="24"/>
          <w:szCs w:val="24"/>
        </w:rPr>
      </w:pPr>
      <w:r>
        <w:rPr>
          <w:rFonts w:eastAsia="Times New Roman" w:cs="Arial" w:ascii="Arial" w:hAnsi="Arial"/>
          <w:b/>
          <w:sz w:val="24"/>
          <w:szCs w:val="24"/>
        </w:rPr>
        <w:t>Guidance (click to expand):</w:t>
      </w:r>
      <w:bookmarkStart w:id="2" w:name="_GoBack"/>
      <w:bookmarkEnd w:id="2"/>
    </w:p>
    <w:p>
      <w:pPr>
        <w:pStyle w:val="Normal"/>
        <w:spacing w:lineRule="auto" w:line="240" w:before="240" w:after="160"/>
        <w:jc w:val="both"/>
        <w:rPr>
          <w:rFonts w:ascii="Arial" w:hAnsi="Arial" w:cs="Arial"/>
          <w:sz w:val="20"/>
          <w:szCs w:val="20"/>
        </w:rPr>
      </w:pPr>
      <w:r>
        <w:rPr>
          <w:rFonts w:eastAsia="Times New Roman" w:cs="Arial" w:ascii="Arial" w:hAnsi="Arial"/>
          <w:sz w:val="20"/>
          <w:szCs w:val="20"/>
        </w:rPr>
        <w:t xml:space="preserve">This template is designed to document </w:t>
      </w:r>
      <w:bookmarkStart w:id="3" w:name="_Perform_the_following"/>
      <w:bookmarkEnd w:id="3"/>
      <w:r>
        <w:rPr>
          <w:rFonts w:cs="Arial" w:ascii="Arial" w:hAnsi="Arial"/>
          <w:sz w:val="20"/>
          <w:szCs w:val="20"/>
        </w:rPr>
        <w:t xml:space="preserve">items to be reported in summary review memorandum for review of the partner. This document contains a list of examples of items that may be reported in the summary review memorandum. This list is not definitive and more or less items may be reported according to the individual facts and circumstances at each entity. </w:t>
      </w:r>
    </w:p>
    <w:p>
      <w:pPr>
        <w:pStyle w:val="Normal"/>
        <w:spacing w:before="240" w:after="160"/>
        <w:rPr>
          <w:rFonts w:ascii="Arial" w:hAnsi="Arial" w:cs="Arial"/>
          <w:b/>
          <w:b/>
          <w:sz w:val="20"/>
          <w:szCs w:val="20"/>
        </w:rPr>
      </w:pPr>
      <w:r>
        <w:rPr>
          <w:rFonts w:cs="Arial" w:ascii="Arial" w:hAnsi="Arial"/>
          <w:b/>
          <w:sz w:val="20"/>
          <w:szCs w:val="20"/>
        </w:rPr>
      </w:r>
    </w:p>
    <w:p>
      <w:pPr>
        <w:pStyle w:val="Normal"/>
        <w:keepNext w:val="true"/>
        <w:keepLines/>
        <w:numPr>
          <w:ilvl w:val="0"/>
          <w:numId w:val="0"/>
        </w:numPr>
        <w:spacing w:lineRule="auto" w:line="240" w:before="240" w:after="160"/>
        <w:outlineLvl w:val="0"/>
        <w:rPr>
          <w:rFonts w:ascii="Arial" w:hAnsi="Arial" w:eastAsia="Times New Roman" w:cs="Arial"/>
          <w:b/>
          <w:b/>
          <w:sz w:val="24"/>
          <w:szCs w:val="24"/>
        </w:rPr>
      </w:pPr>
      <w:r>
        <w:rPr>
          <w:rFonts w:eastAsia="Times New Roman" w:cs="Arial" w:ascii="Arial" w:hAnsi="Arial"/>
          <w:b/>
          <w:sz w:val="24"/>
          <w:szCs w:val="24"/>
        </w:rPr>
        <w:t>Summary Review Memorandum for Partner</w:t>
      </w:r>
    </w:p>
    <w:p>
      <w:pPr>
        <w:pStyle w:val="Normal"/>
        <w:rPr>
          <w:rFonts w:ascii="Arial" w:hAnsi="Arial" w:cs="Arial"/>
          <w:b/>
          <w:b/>
          <w:sz w:val="20"/>
          <w:szCs w:val="20"/>
        </w:rPr>
      </w:pPr>
      <w:r>
        <w:rPr>
          <w:rFonts w:cs="Arial" w:ascii="Arial" w:hAnsi="Arial"/>
          <w:b/>
          <w:sz w:val="20"/>
          <w:szCs w:val="20"/>
        </w:rPr>
      </w:r>
    </w:p>
    <w:tbl>
      <w:tblPr>
        <w:tblStyle w:val="TableGrid"/>
        <w:tblW w:w="5000" w:type="pct"/>
        <w:jc w:val="left"/>
        <w:tblInd w:w="0" w:type="dxa"/>
        <w:tblCellMar>
          <w:top w:w="0" w:type="dxa"/>
          <w:left w:w="115" w:type="dxa"/>
          <w:bottom w:w="0" w:type="dxa"/>
          <w:right w:w="115" w:type="dxa"/>
        </w:tblCellMar>
        <w:tblLook w:noVBand="0" w:val="01e0" w:noHBand="0" w:lastColumn="1" w:firstColumn="1" w:lastRow="1" w:firstRow="1"/>
      </w:tblPr>
      <w:tblGrid>
        <w:gridCol w:w="804"/>
        <w:gridCol w:w="4278"/>
        <w:gridCol w:w="4278"/>
      </w:tblGrid>
      <w:tr>
        <w:trPr>
          <w:trHeight w:val="725" w:hRule="atLeast"/>
        </w:trPr>
        <w:tc>
          <w:tcPr>
            <w:tcW w:w="804" w:type="dxa"/>
            <w:tcBorders/>
            <w:shd w:color="auto" w:fill="8EAADB" w:themeFill="accent5" w:themeFillTint="99" w:val="clear"/>
          </w:tcPr>
          <w:p>
            <w:pPr>
              <w:pStyle w:val="Normal"/>
              <w:spacing w:lineRule="auto" w:line="240" w:before="240" w:after="0"/>
              <w:jc w:val="center"/>
              <w:rPr>
                <w:rFonts w:ascii="Arial" w:hAnsi="Arial" w:eastAsia="Arial" w:cs="Arial"/>
                <w:sz w:val="20"/>
                <w:szCs w:val="20"/>
              </w:rPr>
            </w:pPr>
            <w:r>
              <w:rPr>
                <w:rFonts w:eastAsia="Arial" w:cs="Arial" w:ascii="Arial" w:hAnsi="Arial"/>
                <w:b/>
                <w:sz w:val="20"/>
                <w:szCs w:val="20"/>
              </w:rPr>
              <w:t>S. no.</w:t>
            </w:r>
          </w:p>
        </w:tc>
        <w:tc>
          <w:tcPr>
            <w:tcW w:w="4278" w:type="dxa"/>
            <w:tcBorders/>
            <w:shd w:color="auto" w:fill="8EAADB" w:themeFill="accent5" w:themeFillTint="99" w:val="clear"/>
          </w:tcPr>
          <w:p>
            <w:pPr>
              <w:pStyle w:val="Normal"/>
              <w:spacing w:lineRule="auto" w:line="240" w:before="240" w:after="0"/>
              <w:rPr>
                <w:rFonts w:ascii="Arial" w:hAnsi="Arial" w:eastAsia="Arial" w:cs="Arial"/>
                <w:sz w:val="20"/>
                <w:szCs w:val="20"/>
              </w:rPr>
            </w:pPr>
            <w:r>
              <w:rPr>
                <w:rFonts w:eastAsia="Arial" w:cs="Arial" w:ascii="Arial" w:hAnsi="Arial"/>
                <w:b/>
                <w:sz w:val="20"/>
                <w:szCs w:val="20"/>
              </w:rPr>
              <w:t>Item</w:t>
            </w:r>
          </w:p>
        </w:tc>
        <w:tc>
          <w:tcPr>
            <w:tcW w:w="4278" w:type="dxa"/>
            <w:tcBorders/>
            <w:shd w:color="auto" w:fill="8EAADB" w:themeFill="accent5" w:themeFillTint="99" w:val="clear"/>
          </w:tcPr>
          <w:p>
            <w:pPr>
              <w:pStyle w:val="Normal"/>
              <w:spacing w:lineRule="auto" w:line="240" w:before="240" w:after="0"/>
              <w:rPr>
                <w:rFonts w:ascii="Arial" w:hAnsi="Arial" w:eastAsia="Arial" w:cs="Arial"/>
                <w:b/>
                <w:b/>
                <w:sz w:val="20"/>
                <w:szCs w:val="20"/>
              </w:rPr>
            </w:pPr>
            <w:r>
              <w:rPr>
                <w:rFonts w:eastAsia="Arial" w:cs="Arial" w:ascii="Arial" w:hAnsi="Arial"/>
                <w:b/>
                <w:sz w:val="20"/>
                <w:szCs w:val="20"/>
              </w:rPr>
              <w:t>Description</w:t>
            </w:r>
          </w:p>
        </w:tc>
      </w:tr>
      <w:tr>
        <w:trPr>
          <w:trHeight w:val="20" w:hRule="atLeast"/>
        </w:trPr>
        <w:tc>
          <w:tcPr>
            <w:tcW w:w="804" w:type="dxa"/>
            <w:tcBorders/>
            <w:shd w:fill="auto" w:val="clear"/>
          </w:tcPr>
          <w:p>
            <w:pPr>
              <w:pStyle w:val="Normal"/>
              <w:spacing w:lineRule="auto" w:line="240" w:before="0" w:after="0"/>
              <w:jc w:val="center"/>
              <w:rPr>
                <w:rFonts w:ascii="Arial" w:hAnsi="Arial" w:eastAsia="Arial" w:cs="Arial"/>
                <w:sz w:val="20"/>
                <w:szCs w:val="20"/>
              </w:rPr>
            </w:pPr>
            <w:r>
              <w:rPr>
                <w:rFonts w:eastAsia="Arial" w:cs="Arial" w:ascii="Arial" w:hAnsi="Arial"/>
                <w:sz w:val="20"/>
                <w:szCs w:val="20"/>
              </w:rPr>
              <w:t>1</w:t>
            </w:r>
          </w:p>
        </w:tc>
        <w:tc>
          <w:tcPr>
            <w:tcW w:w="4278" w:type="dxa"/>
            <w:tcBorders/>
            <w:shd w:fill="auto" w:val="clear"/>
          </w:tcPr>
          <w:p>
            <w:pPr>
              <w:pStyle w:val="Normal"/>
              <w:spacing w:lineRule="auto" w:line="240" w:before="0" w:after="0"/>
              <w:rPr>
                <w:rFonts w:ascii="Arial" w:hAnsi="Arial" w:eastAsia="Arial" w:cs="Arial"/>
                <w:sz w:val="20"/>
                <w:szCs w:val="20"/>
              </w:rPr>
            </w:pPr>
            <w:r>
              <w:rPr>
                <w:rFonts w:eastAsia="Arial" w:cs="Arial" w:ascii="Arial" w:hAnsi="Arial"/>
                <w:sz w:val="20"/>
                <w:szCs w:val="20"/>
              </w:rPr>
              <w:t>Major accounting or auditing issues</w:t>
            </w:r>
          </w:p>
        </w:tc>
        <w:tc>
          <w:tcPr>
            <w:tcW w:w="4278" w:type="dxa"/>
            <w:tcBorders/>
            <w:shd w:fill="auto" w:val="clear"/>
          </w:tcPr>
          <w:p>
            <w:pPr>
              <w:pStyle w:val="Normal"/>
              <w:spacing w:lineRule="auto" w:line="240" w:before="0" w:after="0"/>
              <w:rPr>
                <w:rFonts w:ascii="Arial" w:hAnsi="Arial" w:eastAsia="Arial" w:cs="Arial"/>
                <w:b/>
                <w:b/>
                <w:sz w:val="20"/>
                <w:szCs w:val="20"/>
              </w:rPr>
            </w:pPr>
            <w:r>
              <w:rPr>
                <w:rFonts w:eastAsia="Arial" w:cs="Arial" w:ascii="Arial" w:hAnsi="Arial"/>
                <w:b/>
                <w:sz w:val="20"/>
                <w:szCs w:val="20"/>
              </w:rPr>
            </w:r>
          </w:p>
        </w:tc>
      </w:tr>
      <w:tr>
        <w:trPr>
          <w:trHeight w:val="20" w:hRule="atLeast"/>
        </w:trPr>
        <w:tc>
          <w:tcPr>
            <w:tcW w:w="804" w:type="dxa"/>
            <w:tcBorders/>
            <w:shd w:fill="auto" w:val="clear"/>
          </w:tcPr>
          <w:p>
            <w:pPr>
              <w:pStyle w:val="Normal"/>
              <w:spacing w:lineRule="auto" w:line="240" w:before="0" w:after="0"/>
              <w:jc w:val="center"/>
              <w:rPr>
                <w:rFonts w:ascii="Arial" w:hAnsi="Arial" w:cs="Arial"/>
                <w:sz w:val="20"/>
                <w:szCs w:val="20"/>
              </w:rPr>
            </w:pPr>
            <w:r>
              <w:rPr>
                <w:rFonts w:cs="Arial" w:ascii="Arial" w:hAnsi="Arial"/>
                <w:sz w:val="20"/>
                <w:szCs w:val="20"/>
              </w:rPr>
              <w:t>2</w:t>
            </w:r>
          </w:p>
        </w:tc>
        <w:tc>
          <w:tcPr>
            <w:tcW w:w="4278" w:type="dxa"/>
            <w:tcBorders/>
            <w:shd w:fill="auto" w:val="clear"/>
          </w:tcPr>
          <w:p>
            <w:pPr>
              <w:pStyle w:val="Normal"/>
              <w:spacing w:lineRule="auto" w:line="240" w:before="0" w:after="0"/>
              <w:ind w:right="144" w:hanging="0"/>
              <w:rPr>
                <w:rFonts w:ascii="Arial" w:hAnsi="Arial" w:cs="Arial"/>
                <w:sz w:val="20"/>
                <w:szCs w:val="20"/>
              </w:rPr>
            </w:pPr>
            <w:r>
              <w:rPr>
                <w:rFonts w:cs="Arial" w:ascii="Arial" w:hAnsi="Arial"/>
                <w:sz w:val="20"/>
                <w:szCs w:val="20"/>
              </w:rPr>
              <w:t>Change in accounting policy with financial impact</w:t>
            </w:r>
          </w:p>
        </w:tc>
        <w:tc>
          <w:tcPr>
            <w:tcW w:w="4278" w:type="dxa"/>
            <w:tcBorders/>
            <w:shd w:fill="auto" w:val="clear"/>
          </w:tcPr>
          <w:p>
            <w:pPr>
              <w:pStyle w:val="Normal"/>
              <w:spacing w:lineRule="auto" w:line="240" w:before="0" w:after="0"/>
              <w:ind w:left="144" w:right="144" w:hanging="0"/>
              <w:rPr>
                <w:rFonts w:ascii="Arial" w:hAnsi="Arial" w:cs="Arial"/>
                <w:sz w:val="20"/>
                <w:szCs w:val="20"/>
              </w:rPr>
            </w:pPr>
            <w:r>
              <w:rPr>
                <w:rFonts w:cs="Arial" w:ascii="Arial" w:hAnsi="Arial"/>
                <w:sz w:val="20"/>
                <w:szCs w:val="20"/>
              </w:rPr>
            </w:r>
          </w:p>
        </w:tc>
      </w:tr>
      <w:tr>
        <w:trPr>
          <w:trHeight w:val="20" w:hRule="atLeast"/>
        </w:trPr>
        <w:tc>
          <w:tcPr>
            <w:tcW w:w="804" w:type="dxa"/>
            <w:tcBorders/>
            <w:shd w:fill="auto" w:val="clear"/>
          </w:tcPr>
          <w:p>
            <w:pPr>
              <w:pStyle w:val="Normal"/>
              <w:spacing w:lineRule="auto" w:line="240" w:before="0" w:after="0"/>
              <w:jc w:val="center"/>
              <w:rPr>
                <w:rFonts w:ascii="Arial" w:hAnsi="Arial" w:cs="Arial"/>
                <w:sz w:val="20"/>
                <w:szCs w:val="20"/>
              </w:rPr>
            </w:pPr>
            <w:r>
              <w:rPr>
                <w:rFonts w:cs="Arial" w:ascii="Arial" w:hAnsi="Arial"/>
                <w:sz w:val="20"/>
                <w:szCs w:val="20"/>
              </w:rPr>
              <w:t>3</w:t>
            </w:r>
          </w:p>
        </w:tc>
        <w:tc>
          <w:tcPr>
            <w:tcW w:w="4278" w:type="dxa"/>
            <w:tcBorders/>
            <w:shd w:fill="auto" w:val="clear"/>
          </w:tcPr>
          <w:p>
            <w:pPr>
              <w:pStyle w:val="Normal"/>
              <w:spacing w:lineRule="auto" w:line="240" w:before="0" w:after="0"/>
              <w:ind w:right="144" w:hanging="0"/>
              <w:rPr>
                <w:rFonts w:ascii="Arial" w:hAnsi="Arial" w:cs="Arial"/>
                <w:sz w:val="20"/>
                <w:szCs w:val="20"/>
              </w:rPr>
            </w:pPr>
            <w:r>
              <w:rPr>
                <w:rFonts w:cs="Arial" w:ascii="Arial" w:hAnsi="Arial"/>
                <w:sz w:val="20"/>
                <w:szCs w:val="20"/>
              </w:rPr>
              <w:t>Major acquisitions/disposals of fixed assets/investments</w:t>
            </w:r>
          </w:p>
        </w:tc>
        <w:tc>
          <w:tcPr>
            <w:tcW w:w="4278" w:type="dxa"/>
            <w:tcBorders/>
            <w:shd w:fill="auto" w:val="clear"/>
          </w:tcPr>
          <w:p>
            <w:pPr>
              <w:pStyle w:val="Normal"/>
              <w:spacing w:lineRule="auto" w:line="240" w:before="0" w:after="0"/>
              <w:ind w:left="144" w:right="144" w:hanging="0"/>
              <w:rPr>
                <w:rFonts w:ascii="Arial" w:hAnsi="Arial" w:cs="Arial"/>
                <w:sz w:val="20"/>
                <w:szCs w:val="20"/>
              </w:rPr>
            </w:pPr>
            <w:r>
              <w:rPr>
                <w:rFonts w:cs="Arial" w:ascii="Arial" w:hAnsi="Arial"/>
                <w:sz w:val="20"/>
                <w:szCs w:val="20"/>
              </w:rPr>
            </w:r>
          </w:p>
        </w:tc>
      </w:tr>
      <w:tr>
        <w:trPr>
          <w:trHeight w:val="20" w:hRule="atLeast"/>
        </w:trPr>
        <w:tc>
          <w:tcPr>
            <w:tcW w:w="804" w:type="dxa"/>
            <w:tcBorders/>
            <w:shd w:fill="auto" w:val="clear"/>
          </w:tcPr>
          <w:p>
            <w:pPr>
              <w:pStyle w:val="Normal"/>
              <w:spacing w:lineRule="auto" w:line="240" w:before="0" w:after="0"/>
              <w:jc w:val="center"/>
              <w:rPr>
                <w:rFonts w:ascii="Arial" w:hAnsi="Arial" w:cs="Arial"/>
                <w:sz w:val="20"/>
                <w:szCs w:val="20"/>
              </w:rPr>
            </w:pPr>
            <w:r>
              <w:rPr>
                <w:rFonts w:cs="Arial" w:ascii="Arial" w:hAnsi="Arial"/>
                <w:sz w:val="20"/>
                <w:szCs w:val="20"/>
              </w:rPr>
              <w:t>4</w:t>
            </w:r>
          </w:p>
        </w:tc>
        <w:tc>
          <w:tcPr>
            <w:tcW w:w="4278" w:type="dxa"/>
            <w:tcBorders/>
            <w:shd w:fill="auto" w:val="clear"/>
          </w:tcPr>
          <w:p>
            <w:pPr>
              <w:pStyle w:val="Normal"/>
              <w:spacing w:lineRule="auto" w:line="240" w:before="0" w:after="0"/>
              <w:ind w:right="144" w:hanging="0"/>
              <w:rPr>
                <w:rFonts w:ascii="Arial" w:hAnsi="Arial" w:cs="Arial"/>
                <w:sz w:val="20"/>
                <w:szCs w:val="20"/>
              </w:rPr>
            </w:pPr>
            <w:r>
              <w:rPr>
                <w:rFonts w:cs="Arial" w:ascii="Arial" w:hAnsi="Arial"/>
                <w:sz w:val="20"/>
                <w:szCs w:val="20"/>
              </w:rPr>
              <w:t>Acquisitions of long term loans/leases</w:t>
            </w:r>
          </w:p>
        </w:tc>
        <w:tc>
          <w:tcPr>
            <w:tcW w:w="4278" w:type="dxa"/>
            <w:tcBorders/>
            <w:shd w:fill="auto" w:val="clear"/>
          </w:tcPr>
          <w:p>
            <w:pPr>
              <w:pStyle w:val="Normal"/>
              <w:spacing w:lineRule="auto" w:line="240" w:before="0" w:after="0"/>
              <w:ind w:left="144" w:right="144" w:hanging="0"/>
              <w:rPr>
                <w:rFonts w:ascii="Arial" w:hAnsi="Arial" w:cs="Arial"/>
                <w:sz w:val="20"/>
                <w:szCs w:val="20"/>
              </w:rPr>
            </w:pPr>
            <w:r>
              <w:rPr>
                <w:rFonts w:cs="Arial" w:ascii="Arial" w:hAnsi="Arial"/>
                <w:sz w:val="20"/>
                <w:szCs w:val="20"/>
              </w:rPr>
            </w:r>
          </w:p>
        </w:tc>
      </w:tr>
      <w:tr>
        <w:trPr>
          <w:trHeight w:val="20" w:hRule="atLeast"/>
        </w:trPr>
        <w:tc>
          <w:tcPr>
            <w:tcW w:w="804" w:type="dxa"/>
            <w:tcBorders/>
            <w:shd w:fill="auto" w:val="clear"/>
          </w:tcPr>
          <w:p>
            <w:pPr>
              <w:pStyle w:val="Normal"/>
              <w:spacing w:lineRule="auto" w:line="240" w:before="0" w:after="0"/>
              <w:jc w:val="center"/>
              <w:rPr>
                <w:rFonts w:ascii="Arial" w:hAnsi="Arial" w:cs="Arial"/>
                <w:sz w:val="20"/>
                <w:szCs w:val="20"/>
              </w:rPr>
            </w:pPr>
            <w:r>
              <w:rPr>
                <w:rFonts w:cs="Arial" w:ascii="Arial" w:hAnsi="Arial"/>
                <w:sz w:val="20"/>
                <w:szCs w:val="20"/>
              </w:rPr>
              <w:t>5</w:t>
            </w:r>
          </w:p>
        </w:tc>
        <w:tc>
          <w:tcPr>
            <w:tcW w:w="4278" w:type="dxa"/>
            <w:tcBorders/>
            <w:shd w:fill="auto" w:val="clear"/>
          </w:tcPr>
          <w:p>
            <w:pPr>
              <w:pStyle w:val="Normal"/>
              <w:spacing w:lineRule="auto" w:line="240" w:before="0" w:after="0"/>
              <w:ind w:right="144" w:hanging="0"/>
              <w:rPr>
                <w:rFonts w:ascii="Arial" w:hAnsi="Arial" w:cs="Arial"/>
                <w:sz w:val="20"/>
                <w:szCs w:val="20"/>
              </w:rPr>
            </w:pPr>
            <w:r>
              <w:rPr>
                <w:rFonts w:cs="Arial" w:ascii="Arial" w:hAnsi="Arial"/>
                <w:sz w:val="20"/>
                <w:szCs w:val="20"/>
              </w:rPr>
              <w:t>Provisions</w:t>
            </w:r>
          </w:p>
        </w:tc>
        <w:tc>
          <w:tcPr>
            <w:tcW w:w="4278" w:type="dxa"/>
            <w:tcBorders/>
            <w:shd w:fill="auto" w:val="clear"/>
          </w:tcPr>
          <w:p>
            <w:pPr>
              <w:pStyle w:val="Normal"/>
              <w:spacing w:lineRule="auto" w:line="240" w:before="0" w:after="0"/>
              <w:ind w:left="144" w:right="144" w:hanging="0"/>
              <w:rPr>
                <w:rFonts w:ascii="Arial" w:hAnsi="Arial" w:cs="Arial"/>
                <w:sz w:val="20"/>
                <w:szCs w:val="20"/>
              </w:rPr>
            </w:pPr>
            <w:r>
              <w:rPr>
                <w:rFonts w:cs="Arial" w:ascii="Arial" w:hAnsi="Arial"/>
                <w:sz w:val="20"/>
                <w:szCs w:val="20"/>
              </w:rPr>
            </w:r>
          </w:p>
        </w:tc>
      </w:tr>
      <w:tr>
        <w:trPr>
          <w:trHeight w:val="20" w:hRule="atLeast"/>
        </w:trPr>
        <w:tc>
          <w:tcPr>
            <w:tcW w:w="804" w:type="dxa"/>
            <w:tcBorders/>
            <w:shd w:fill="auto" w:val="clear"/>
          </w:tcPr>
          <w:p>
            <w:pPr>
              <w:pStyle w:val="Normal"/>
              <w:spacing w:lineRule="auto" w:line="240" w:before="0" w:after="0"/>
              <w:jc w:val="center"/>
              <w:rPr>
                <w:rFonts w:ascii="Arial" w:hAnsi="Arial" w:cs="Arial"/>
                <w:sz w:val="20"/>
                <w:szCs w:val="20"/>
              </w:rPr>
            </w:pPr>
            <w:r>
              <w:rPr>
                <w:rFonts w:cs="Arial" w:ascii="Arial" w:hAnsi="Arial"/>
                <w:sz w:val="20"/>
                <w:szCs w:val="20"/>
              </w:rPr>
              <w:t>6</w:t>
            </w:r>
          </w:p>
        </w:tc>
        <w:tc>
          <w:tcPr>
            <w:tcW w:w="4278" w:type="dxa"/>
            <w:tcBorders/>
            <w:shd w:fill="auto" w:val="clear"/>
          </w:tcPr>
          <w:p>
            <w:pPr>
              <w:pStyle w:val="Normal"/>
              <w:spacing w:lineRule="auto" w:line="240" w:before="0" w:after="0"/>
              <w:ind w:right="144" w:hanging="0"/>
              <w:rPr>
                <w:rFonts w:ascii="Arial" w:hAnsi="Arial" w:cs="Arial"/>
                <w:sz w:val="20"/>
                <w:szCs w:val="20"/>
              </w:rPr>
            </w:pPr>
            <w:r>
              <w:rPr>
                <w:rFonts w:cs="Arial" w:ascii="Arial" w:hAnsi="Arial"/>
                <w:sz w:val="20"/>
                <w:szCs w:val="20"/>
              </w:rPr>
              <w:t xml:space="preserve">Major contingencies/litigations including tax etc. </w:t>
            </w:r>
          </w:p>
        </w:tc>
        <w:tc>
          <w:tcPr>
            <w:tcW w:w="4278" w:type="dxa"/>
            <w:tcBorders/>
            <w:shd w:fill="auto" w:val="clear"/>
          </w:tcPr>
          <w:p>
            <w:pPr>
              <w:pStyle w:val="Normal"/>
              <w:spacing w:lineRule="auto" w:line="240" w:before="0" w:after="0"/>
              <w:ind w:left="144" w:right="144" w:hanging="0"/>
              <w:rPr>
                <w:rFonts w:ascii="Arial" w:hAnsi="Arial" w:cs="Arial"/>
                <w:sz w:val="20"/>
                <w:szCs w:val="20"/>
              </w:rPr>
            </w:pPr>
            <w:r>
              <w:rPr>
                <w:rFonts w:cs="Arial" w:ascii="Arial" w:hAnsi="Arial"/>
                <w:sz w:val="20"/>
                <w:szCs w:val="20"/>
              </w:rPr>
            </w:r>
          </w:p>
        </w:tc>
      </w:tr>
    </w:tbl>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spacing w:before="0" w:after="160"/>
        <w:jc w:val="both"/>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98464453"/>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1</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2" wp14:anchorId="1699B376">
              <wp:simplePos x="0" y="0"/>
              <wp:positionH relativeFrom="margin">
                <wp:align>center</wp:align>
              </wp:positionH>
              <wp:positionV relativeFrom="paragraph">
                <wp:posOffset>-353695</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05pt;margin-top:-27.85pt;width:514.05pt;height:55.5pt" coordorigin="-461,-557" coordsize="10281,1110">
              <v:rect id="shape_0" ID="Text Box 2" fillcolor="white" stroked="f" style="position:absolute;left:-461;top:-557;width:5936;height:1109;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5;top:-444;width:1654;height:816;mso-position-horizontal:center;mso-position-horizontal-relative:margin" type="shapetype_75">
                <v:imagedata r:id="rId1" o:detectmouseclick="t"/>
                <w10:wrap type="none"/>
                <v:stroke color="#3465a4" joinstyle="round" endcap="flat"/>
              </v:shape>
            </v:group>
          </w:pict>
        </mc:Fallback>
      </mc:AlternateConten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3d1f"/>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1336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1336d"/>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sid w:val="00a03e39"/>
    <w:rPr/>
  </w:style>
  <w:style w:type="character" w:styleId="FooterChar" w:customStyle="1">
    <w:name w:val="Footer Char"/>
    <w:basedOn w:val="DefaultParagraphFont"/>
    <w:link w:val="Footer"/>
    <w:uiPriority w:val="99"/>
    <w:qFormat/>
    <w:rsid w:val="00a03e39"/>
    <w:rPr/>
  </w:style>
  <w:style w:type="character" w:styleId="BalloonTextChar" w:customStyle="1">
    <w:name w:val="Balloon Text Char"/>
    <w:basedOn w:val="DefaultParagraphFont"/>
    <w:link w:val="BalloonText"/>
    <w:uiPriority w:val="99"/>
    <w:semiHidden/>
    <w:qFormat/>
    <w:rsid w:val="00d9175d"/>
    <w:rPr>
      <w:rFonts w:ascii="Segoe UI" w:hAnsi="Segoe UI" w:cs="Segoe UI"/>
      <w:sz w:val="18"/>
      <w:szCs w:val="18"/>
    </w:rPr>
  </w:style>
  <w:style w:type="character" w:styleId="ListLabel1">
    <w:name w:val="ListLabel 1"/>
    <w:qFormat/>
    <w:rPr>
      <w:color w:val="000000"/>
      <w:sz w:val="18"/>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olor w:val="auto"/>
    </w:rPr>
  </w:style>
  <w:style w:type="character" w:styleId="ListLabel29">
    <w:name w:val="ListLabel 29"/>
    <w:qFormat/>
    <w:rPr>
      <w:rFonts w:cs="Times New Roman"/>
      <w:color w:val="auto"/>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color w:val="000000"/>
      <w:sz w:val="18"/>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color w:val="000000"/>
      <w:sz w:val="18"/>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eastAsia="Times New Roman" w:cs="Arial"/>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Bullet" w:customStyle="1">
    <w:name w:val="Table Bullet"/>
    <w:basedOn w:val="Normal"/>
    <w:qFormat/>
    <w:rsid w:val="00f13d1f"/>
    <w:pPr>
      <w:spacing w:lineRule="atLeast" w:line="260" w:before="120" w:after="120"/>
    </w:pPr>
    <w:rPr>
      <w:rFonts w:ascii="Arial" w:hAnsi="Arial" w:eastAsia="Times New Roman" w:cs="Arial Unicode MS"/>
      <w:sz w:val="24"/>
      <w:szCs w:val="24"/>
      <w:lang w:bidi="th-TH"/>
    </w:rPr>
  </w:style>
  <w:style w:type="paragraph" w:styleId="ListParagraph">
    <w:name w:val="List Paragraph"/>
    <w:basedOn w:val="Normal"/>
    <w:uiPriority w:val="34"/>
    <w:qFormat/>
    <w:rsid w:val="00f13d1f"/>
    <w:pPr>
      <w:spacing w:before="0" w:after="160"/>
      <w:ind w:left="720" w:hanging="0"/>
      <w:contextualSpacing/>
    </w:pPr>
    <w:rPr/>
  </w:style>
  <w:style w:type="paragraph" w:styleId="Header">
    <w:name w:val="Header"/>
    <w:basedOn w:val="Normal"/>
    <w:link w:val="HeaderChar"/>
    <w:uiPriority w:val="99"/>
    <w:unhideWhenUsed/>
    <w:rsid w:val="00a03e3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03e39"/>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d9175d"/>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13d1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53175-FE31-44AD-9BC4-EA1EC1957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Application>LibreOffice/6.1.5.2$Linux_X86_64 LibreOffice_project/10$Build-2</Application>
  <Pages>1</Pages>
  <Words>132</Words>
  <Characters>738</Characters>
  <CharactersWithSpaces>840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2022-07-25T15:03:00Z</dcterms:created>
  <dc:creator>Maham Moin</dc:creator>
  <dc:description/>
  <dc:language>en-US</dc:language>
  <cp:lastModifiedBy/>
  <dcterms:modified xsi:type="dcterms:W3CDTF">2022-10-04T15:28:21Z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