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Surplus on Revaluation</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surplus on revaluation.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6"/>
        <w:gridCol w:w="1275"/>
        <w:gridCol w:w="1229"/>
        <w:gridCol w:w="1233"/>
        <w:gridCol w:w="1227"/>
      </w:tblGrid>
      <w:tr>
        <w:trPr>
          <w:trHeight w:val="20" w:hRule="atLeast"/>
        </w:trPr>
        <w:tc>
          <w:tcPr>
            <w:tcW w:w="7996"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75"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689"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7996"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75"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2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27"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transfers to and from surplus on revaluation are completely and accurately recorded.</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Surplus on revaluation represents valid gains on revaluation of fixed assets.</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ER</w:t>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Surplus on revaluation is recorded at an appropriate value.</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V</w:t>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Surplus on revaluation is presented and all disclosures have been given in accordance with the Fourth/Fifth Schedules of the Companies Act, 2017 and relevant IAS/IFRS.</w:t>
            </w:r>
          </w:p>
        </w:tc>
        <w:tc>
          <w:tcPr>
            <w:tcW w:w="1275"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OCALRVU</w:t>
            </w:r>
          </w:p>
        </w:tc>
        <w:tc>
          <w:tcPr>
            <w:tcW w:w="122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2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504"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60"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7996"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504"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504"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504"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w:t>
            </w:r>
          </w:p>
        </w:tc>
        <w:tc>
          <w:tcPr>
            <w:tcW w:w="2504"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504"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504"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504"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surplus on revaluation (showing assets wise detail, cost of the assets, revalued amount) trial balance/ movement schedule. Test the summarization and the reconciliation of the total to the general ledger. Trace significant reconciling items, if any, to supporting documents.</w:t>
            </w:r>
          </w:p>
        </w:tc>
        <w:tc>
          <w:tcPr>
            <w:tcW w:w="2504"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opening balances from surplus on revaluation’s subsidiary records, general ledger and last year’s working papers.</w:t>
            </w:r>
          </w:p>
        </w:tc>
        <w:tc>
          <w:tcPr>
            <w:tcW w:w="2504"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Obtain a listing of all the assets that have been revalued and consider the following:</w:t>
            </w:r>
          </w:p>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Reasons for revaluation;</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The professional competency, capability, objectivity and experience of the valuer;</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Method used;</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Significant assumptions made;</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Data used;</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Date and year of revaluation;</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Amount of revaluation; and</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Treatment of revaluation surplus/deficit.</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that the increase in value of the assets has been transferred to a separate account called “surplus on revaluation of fixed assets”.</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Examine the valuer’s report to ensure the correctness of revalued amount of the fixed assets and ensure independence of the valuer and check appropriateness and reasonableness of assumptions and data used by valuer.</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Check that the surplus on revaluation of the fixed assets has been applied:</w:t>
            </w:r>
          </w:p>
          <w:p>
            <w:pPr>
              <w:pStyle w:val="ListParagraph"/>
              <w:numPr>
                <w:ilvl w:val="0"/>
                <w:numId w:val="10"/>
              </w:numPr>
              <w:spacing w:lineRule="auto" w:line="240" w:beforeAutospacing="1" w:after="160"/>
              <w:jc w:val="both"/>
              <w:rPr>
                <w:rFonts w:ascii="Arial" w:hAnsi="Arial" w:cs="Arial"/>
                <w:sz w:val="20"/>
                <w:szCs w:val="20"/>
              </w:rPr>
            </w:pPr>
            <w:r>
              <w:rPr>
                <w:rFonts w:cs="Arial" w:ascii="Arial" w:hAnsi="Arial"/>
                <w:sz w:val="20"/>
                <w:szCs w:val="20"/>
              </w:rPr>
              <w:t>Only to the extent actually realized on disposal of revalued assets.</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On setting-off any deficit arising from the revaluation of any other fixed assets of the client.</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incremental depreciation transferred from surplus to unappropriated profit/ accumulated loss.</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Examine the revaluation policy in respect of property, plant and equipment and ensure that it is being consistently applied as per requirements of IAS 16 and IAS 36.</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compliance with the requirements of IAS 12 in respect of deferred tax on surplus on revaluation of fixed assets.</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504"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96"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504"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7996"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balances with last year balances and ensure that any significant variation should be properly and logically reasoned.</w:t>
            </w:r>
          </w:p>
        </w:tc>
        <w:tc>
          <w:tcPr>
            <w:tcW w:w="2504"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60"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347514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49D2-4256-40A5-870A-849CDA95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Application>LibreOffice/6.1.5.2$Linux_X86_64 LibreOffice_project/10$Build-2</Application>
  <Pages>6</Pages>
  <Words>1033</Words>
  <Characters>5890</Characters>
  <CharactersWithSpaces>6797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2022-09-21T16:21:14Z</dcterms:modified>
  <cp:revision>323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