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*Understand and Evaluate Internal Control</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190" w:after="11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801"/>
        <w:gridCol w:w="1798"/>
      </w:tblGrid>
      <w:tr>
        <w:trPr>
          <w:trHeight w:val="20" w:hRule="atLeast"/>
        </w:trPr>
        <w:tc>
          <w:tcPr>
            <w:tcW w:w="5761"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Procedures performed</w:t>
            </w:r>
          </w:p>
        </w:tc>
        <w:tc>
          <w:tcPr>
            <w:tcW w:w="1801"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Links</w:t>
            </w:r>
          </w:p>
        </w:tc>
        <w:tc>
          <w:tcPr>
            <w:tcW w:w="1798"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Ref. no.</w:t>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and evaluated understanding of the entity’s system of internal control:</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Control environment;</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Risk assessment process;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Information system and communication;</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Control activities;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Entity’s process to monitor the system of internal control.</w:t>
            </w:r>
          </w:p>
        </w:tc>
        <w:tc>
          <w:tcPr>
            <w:tcW w:w="1801" w:type="dxa"/>
            <w:tcBorders/>
            <w:shd w:fill="auto" w:val="clear"/>
          </w:tcPr>
          <w:p>
            <w:pPr>
              <w:pStyle w:val="Normal"/>
              <w:spacing w:lineRule="auto" w:line="240" w:before="0" w:after="0"/>
              <w:rPr/>
            </w:pPr>
            <w:hyperlink r:id="rId2">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and documented accordingly, understanding of the entity’s use of IT in the system of internal controls.</w:t>
            </w:r>
          </w:p>
        </w:tc>
        <w:tc>
          <w:tcPr>
            <w:tcW w:w="1801" w:type="dxa"/>
            <w:tcBorders/>
            <w:shd w:fill="auto" w:val="clear"/>
          </w:tcPr>
          <w:p>
            <w:pPr>
              <w:pStyle w:val="Normal"/>
              <w:spacing w:lineRule="auto" w:line="240" w:before="0" w:after="0"/>
              <w:rPr/>
            </w:pPr>
            <w:hyperlink r:id="rId3">
              <w:r>
                <w:rPr>
                  <w:rStyle w:val="InternetLink"/>
                  <w:rFonts w:cs="Arial" w:ascii="Arial" w:hAnsi="Arial"/>
                  <w:b/>
                  <w:sz w:val="20"/>
                  <w:szCs w:val="20"/>
                </w:rPr>
                <w:t>General Purpose CIS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Based on the evaluation of each of the components of the entity’s system of internal control, the engagement team determined whether any significant risks were identified and whether one or more control deficiencies were identified and whether they constituted a significant deficiency. Any identified significant deficiency was communicated to those charged with governance on a timely basis.</w:t>
            </w:r>
          </w:p>
        </w:tc>
        <w:tc>
          <w:tcPr>
            <w:tcW w:w="1801" w:type="dxa"/>
            <w:tcBorders/>
            <w:shd w:fill="auto" w:val="clear"/>
          </w:tcPr>
          <w:p>
            <w:pPr>
              <w:pStyle w:val="Normal"/>
              <w:spacing w:lineRule="auto" w:line="240" w:before="0" w:after="0"/>
              <w:rPr/>
            </w:pPr>
            <w:hyperlink r:id="rId4">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If applicable, attach any minutes/memos/written communication.</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and evaluation provided a basis for identifying and assessing the risks of material misstatement, whether due to fraud or error, at the financial statement and assertion levels, thereby providing a basis for designing and implementing responses to the assessed risks of material misstatement.</w:t>
            </w:r>
          </w:p>
        </w:tc>
        <w:tc>
          <w:tcPr>
            <w:tcW w:w="1801" w:type="dxa"/>
            <w:tcBorders/>
            <w:shd w:fill="auto" w:val="clear"/>
          </w:tcPr>
          <w:p>
            <w:pPr>
              <w:pStyle w:val="Normal"/>
              <w:spacing w:lineRule="auto" w:line="240" w:before="0" w:after="0"/>
              <w:rPr/>
            </w:pPr>
            <w:hyperlink r:id="rId5">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and evaluation was based on prior year experience relevant to the current period, any other engagements with the entity and acceptance/continuance procedures as well as discussions among engagement team and initial meeting(s).</w:t>
            </w:r>
          </w:p>
        </w:tc>
        <w:tc>
          <w:tcPr>
            <w:tcW w:w="1801" w:type="dxa"/>
            <w:tcBorders/>
            <w:shd w:fill="auto" w:val="clear"/>
          </w:tcPr>
          <w:p>
            <w:pPr>
              <w:pStyle w:val="Normal"/>
              <w:spacing w:lineRule="auto" w:line="240" w:before="0" w:after="0"/>
              <w:rPr/>
            </w:pPr>
            <w:hyperlink r:id="rId6">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the understanding and evaluation of the entity’s system of internal control and sources of information and the risk assessment procedures performed (inquiries, inspection, observation, walkthroughs, and/or other activities mentioned above) from which the understanding was obtained/updated.</w:t>
            </w:r>
          </w:p>
        </w:tc>
        <w:tc>
          <w:tcPr>
            <w:tcW w:w="1801" w:type="dxa"/>
            <w:tcBorders/>
            <w:shd w:fill="auto" w:val="clear"/>
          </w:tcPr>
          <w:p>
            <w:pPr>
              <w:pStyle w:val="Normal"/>
              <w:spacing w:lineRule="auto" w:line="240" w:before="0" w:after="0"/>
              <w:rPr/>
            </w:pPr>
            <w:hyperlink r:id="rId7">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the engagement team obtained understanding of the entity’s controls, including control activities, relevant to the significant risk(s).</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no such circumstances exist.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 xml:space="preserve">Attach </w:t>
            </w:r>
            <w:hyperlink r:id="rId8">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Where the engagement team made judgement that it is not possible or practicable to obtain sufficient appropriate audit evidence only from substantive procedures (as a result of risks relating to the inaccurate or incomplete recording of </w:t>
            </w:r>
            <w:bookmarkStart w:id="0" w:name="_GoBack"/>
            <w:bookmarkEnd w:id="0"/>
            <w:r>
              <w:rPr>
                <w:rFonts w:cs="Arial" w:ascii="Arial" w:hAnsi="Arial"/>
                <w:sz w:val="20"/>
                <w:szCs w:val="20"/>
              </w:rPr>
              <w:t>routine and significant classes of transactions or account balances, the characteristics of which often permit highly automated processing with little or no manual intervention) the engagement team obtained understanding of the entity’s controls over such risks.</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no such circumstances exist.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 xml:space="preserve">Attach </w:t>
            </w:r>
            <w:hyperlink r:id="rId9">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Control Environment</w:t>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obtained/updated an understanding of the control environment relevant to the preparation of the financial statements by: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set of controls, processes and structures that address:</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management’s oversight responsibilities are carried out, such as the entity’s culture and management’s commitment to integrity and ethical values;</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When those charged with governance are separate from management, the independence of, and oversight over the entity’s system of internal control by, those charged with governance;</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The entity’s assignment of authority and responsibility;</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the entity attracts, develops, and retains competent individuals; and</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the entity holds individuals accountable for their responsibilities in the pursuit of the objectives of the system of internal control;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management, with the oversight of those charged with governance, has created and maintained a culture of honesty and ethical behavior and whether strengths in the control environment elements collectively provide an appropriate foundation for the other components of the entity’s system of internal control considering the nature and complexity of the entity, and whether those other components are not undermined by deficiencies in the control environment.</w:t>
            </w:r>
          </w:p>
        </w:tc>
        <w:tc>
          <w:tcPr>
            <w:tcW w:w="1801" w:type="dxa"/>
            <w:tcBorders/>
            <w:shd w:fill="auto" w:val="clear"/>
          </w:tcPr>
          <w:p>
            <w:pPr>
              <w:pStyle w:val="Normal"/>
              <w:spacing w:lineRule="auto" w:line="240" w:before="0" w:after="0"/>
              <w:rPr/>
            </w:pPr>
            <w:hyperlink r:id="rId10">
              <w:r>
                <w:rPr>
                  <w:rStyle w:val="InternetLink"/>
                  <w:rFonts w:cs="Arial" w:ascii="Arial" w:hAnsi="Arial"/>
                  <w:b/>
                  <w:sz w:val="20"/>
                  <w:szCs w:val="20"/>
                </w:rPr>
                <w:t>Internal Control Template.docx</w:t>
              </w:r>
            </w:hyperlink>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Risk Assessment Process</w:t>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obtained/updated understanding of the entity's risk assessment process relevant to financial reporting by: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entity’s process for:</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Identifying business risks relevant to financial reporting objectives;</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Assessing the significance of the risks, including the likelihood of their occurrence; and</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Addressing those risks;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risk assessment process is appropriate to the entity’s circumstances considering the nature and complexity of the entity.</w:t>
            </w:r>
          </w:p>
        </w:tc>
        <w:tc>
          <w:tcPr>
            <w:tcW w:w="1801" w:type="dxa"/>
            <w:tcBorders/>
            <w:shd w:fill="auto" w:val="clear"/>
          </w:tcPr>
          <w:p>
            <w:pPr>
              <w:pStyle w:val="Normal"/>
              <w:spacing w:lineRule="auto" w:line="240" w:before="0" w:after="0"/>
              <w:rPr/>
            </w:pPr>
            <w:hyperlink r:id="rId11">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 understanding of how management communicates to those charged with governance regarding the risk assessment process and how those charged with governance exercise oversight of management's processes for identifying and responding to the risks of fraud in the entity and the internal control that management has established to mitigate these risks.</w:t>
            </w:r>
          </w:p>
        </w:tc>
        <w:tc>
          <w:tcPr>
            <w:tcW w:w="1801" w:type="dxa"/>
            <w:tcBorders/>
            <w:shd w:fill="auto" w:val="clear"/>
          </w:tcPr>
          <w:p>
            <w:pPr>
              <w:pStyle w:val="Normal"/>
              <w:spacing w:lineRule="auto" w:line="240" w:before="0" w:after="0"/>
              <w:rPr/>
            </w:pPr>
            <w:hyperlink r:id="rId12">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it identified risks of material misstatement that management failed to identify, and if so, they gained an understanding of why that process failed to identify it and determined if there is a significant deficiency in entity’s system of internal control with regard to the entity's risk assessment process.  The engagement team also evaluated the appropriateness of the process and determined the impact of any such deficiency on the other components of the entity’s system of internal control and the audit strategy.</w:t>
            </w:r>
          </w:p>
        </w:tc>
        <w:tc>
          <w:tcPr>
            <w:tcW w:w="1801" w:type="dxa"/>
            <w:tcBorders/>
            <w:shd w:fill="auto" w:val="clear"/>
          </w:tcPr>
          <w:p>
            <w:pPr>
              <w:pStyle w:val="Normal"/>
              <w:spacing w:lineRule="auto" w:line="240" w:before="0" w:after="0"/>
              <w:rPr/>
            </w:pPr>
            <w:hyperlink r:id="rId13">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the entity has not established such a process or has an ad hoc process, and if so, the engagement team discussed with management whether business risks relevant to financial reporting objectives have been identified and how they have been addressed and evaluated the appropriateness of the absence of such a process and determined whether it represents a significant deficiency in entity’s system of internal control.</w:t>
            </w:r>
          </w:p>
        </w:tc>
        <w:tc>
          <w:tcPr>
            <w:tcW w:w="1801" w:type="dxa"/>
            <w:tcBorders/>
            <w:shd w:fill="auto" w:val="clear"/>
          </w:tcPr>
          <w:p>
            <w:pPr>
              <w:pStyle w:val="Normal"/>
              <w:spacing w:lineRule="auto" w:line="240" w:before="0" w:after="0"/>
              <w:rPr/>
            </w:pPr>
            <w:hyperlink r:id="rId14">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Information System and Communication</w:t>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held discussions with management responsible for both business processes and information systems and technology and relevant documentation was reviewed in order to understand how the entity's financial statements are prepared, including mapping the linkage between significant processes and the financial statements.</w:t>
            </w:r>
          </w:p>
        </w:tc>
        <w:tc>
          <w:tcPr>
            <w:tcW w:w="1801" w:type="dxa"/>
            <w:tcBorders/>
            <w:shd w:fill="auto" w:val="clear"/>
          </w:tcPr>
          <w:p>
            <w:pPr>
              <w:pStyle w:val="Normal"/>
              <w:spacing w:lineRule="auto" w:line="240" w:before="0" w:after="0"/>
              <w:rPr/>
            </w:pPr>
            <w:hyperlink r:id="rId15">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entity’s information system and communication relevant to the preparation of the financial statements,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entity’s information processing activities, including its data and information, the resources to be used in such activities and the policies that define, for significant classes of transactions, account balances and disclosures: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How information flows through the entity’s information system, including how: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Transactions are initiated, and how information about them is recorded, processed, corrected as necessary, incorporated in the general ledger and reported in the financial statements; and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Information about events and conditions, other than transactions, is captured, processed and disclosed in the financial statements;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accounting records, specific accounts in the financial statements and other supporting records relating to the flows of information in the information system;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financial reporting process used to prepare the entity’s financial statements, including disclosures;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entity’s resources, including the IT environment, relevant to how information flows through the entity’s information system and the financial reporting process.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how the entity communicates significant matters that support the preparation of the financial statements and related reporting responsibilities in the information system and other components of the system of internal control:</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Between people within the entity, including how financial reporting roles and responsibilities are communicated;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Between management and those charged with governance;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With external parties, such as those with regulatory authorities;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information system and communication appropriately support the preparation of the entity’s financial statements in accordance with the applicable financial reporting framework.</w:t>
            </w:r>
          </w:p>
        </w:tc>
        <w:tc>
          <w:tcPr>
            <w:tcW w:w="1801" w:type="dxa"/>
            <w:vMerge w:val="restart"/>
            <w:tcBorders/>
            <w:shd w:fill="auto" w:val="clear"/>
          </w:tcPr>
          <w:p>
            <w:pPr>
              <w:pStyle w:val="Normal"/>
              <w:spacing w:lineRule="auto" w:line="240" w:before="0" w:after="0"/>
              <w:rPr/>
            </w:pPr>
            <w:hyperlink r:id="rId16">
              <w:r>
                <w:rPr>
                  <w:rStyle w:val="InternetLink"/>
                  <w:rFonts w:cs="Arial" w:ascii="Arial" w:hAnsi="Arial"/>
                  <w:b/>
                  <w:sz w:val="20"/>
                  <w:szCs w:val="20"/>
                </w:rPr>
                <w:t>Internal Control Template.docx</w:t>
              </w:r>
            </w:hyperlink>
          </w:p>
        </w:tc>
        <w:tc>
          <w:tcPr>
            <w:tcW w:w="1798" w:type="dxa"/>
            <w:tcBorders>
              <w:bottom w:val="nil"/>
              <w:insideH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top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 understanding of the level and complexity of controls automation, system complexity, platforms used, approach to security and the security architecture, known problems, and nature and volume of transactions that could impact the audit.</w:t>
            </w:r>
          </w:p>
        </w:tc>
        <w:tc>
          <w:tcPr>
            <w:tcW w:w="1801" w:type="dxa"/>
            <w:tcBorders/>
            <w:shd w:fill="auto" w:val="clear"/>
          </w:tcPr>
          <w:p>
            <w:pPr>
              <w:pStyle w:val="Normal"/>
              <w:spacing w:lineRule="auto" w:line="240" w:before="0" w:after="0"/>
              <w:rPr/>
            </w:pPr>
            <w:hyperlink r:id="rId17">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Control Activities</w:t>
            </w:r>
          </w:p>
        </w:tc>
      </w:tr>
      <w:tr>
        <w:trPr>
          <w:trHeight w:val="20"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control activities (performance reviews, information processing, physical controls and/or authorization and segregation of duties)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Identifying controls that address risks of material misstatement at the assertion level in the control activities component as follows: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that address a risk that is determined to be a significant risk;</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over journal entries, including non-standard journal entries used to record non-recurring, unusual transactions or adjustments;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for which the engagement team plans to test operating effectiveness in determining the nature, timing and extent of substantive testing, which shall include controls that address risks for which substantive procedures alone do not provide sufficient appropriate audit evidence;</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Other controls that the engagement team considered appropriate to enable the engagement team to identify and assess of risks of material misstatement and the design of further audit procedures with respect to risks at the assertion level, based on the engagement team’s professional judgment;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Based on controls identified above, identifying the IT applications and the other aspects of the entity’s IT environment that are subject to risks arising from the use of IT;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For such IT applications and other aspects of the IT environment, identifying:</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related risks arising from the use of IT;</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entity’s general IT controls that address such risks;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control is designed effectively to address the risk of material misstatement at the assertion level, or effectively designed to support the operation of other controls and determining whether the control has been implemented by performing a walkthrough and/or other appropriate procedures.</w:t>
            </w:r>
          </w:p>
        </w:tc>
        <w:tc>
          <w:tcPr>
            <w:tcW w:w="1801" w:type="dxa"/>
            <w:vMerge w:val="restart"/>
            <w:tcBorders/>
            <w:shd w:fill="auto" w:val="clear"/>
          </w:tcPr>
          <w:p>
            <w:pPr>
              <w:pStyle w:val="Normal"/>
              <w:spacing w:lineRule="auto" w:line="240" w:before="0" w:after="0"/>
              <w:rPr/>
            </w:pPr>
            <w:hyperlink r:id="rId18">
              <w:r>
                <w:rPr>
                  <w:rStyle w:val="InternetLink"/>
                  <w:rFonts w:cs="Arial" w:ascii="Arial" w:hAnsi="Arial"/>
                  <w:b/>
                  <w:sz w:val="20"/>
                  <w:szCs w:val="20"/>
                </w:rPr>
                <w:t>Internal Control Template.docx</w:t>
              </w:r>
            </w:hyperlink>
          </w:p>
        </w:tc>
        <w:tc>
          <w:tcPr>
            <w:tcW w:w="1798"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the direct entity level controls were ineffective at an adequate level of precision to prevent or detect on a timely basis material misstatements to one or more relevant assertion and if so, the engagement team sought to understand the transaction level controls.</w:t>
            </w:r>
          </w:p>
        </w:tc>
        <w:tc>
          <w:tcPr>
            <w:tcW w:w="1801" w:type="dxa"/>
            <w:tcBorders/>
            <w:shd w:fill="auto" w:val="clear"/>
          </w:tcPr>
          <w:p>
            <w:pPr>
              <w:pStyle w:val="Normal"/>
              <w:spacing w:lineRule="auto" w:line="240" w:before="0" w:after="0"/>
              <w:rPr/>
            </w:pPr>
            <w:hyperlink r:id="rId19">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Monitoring of Controls</w:t>
            </w:r>
          </w:p>
        </w:tc>
      </w:tr>
      <w:tr>
        <w:trPr>
          <w:trHeight w:val="20" w:hRule="atLeast"/>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entity’s process for monitoring the system of internal control relevant to the preparation of the financial statements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those aspects of the entity’s process that address: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Ongoing and separate/periodic evaluations for monitoring the effectiveness of controls; and the identification and remediation of control deficiencies identified;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entity’s internal audit function, if any, including its nature, responsibilities and activities;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sources of the information used in the entity’s monitoring activities, and the basis upon which management considered the information to be sufficiently reliable for the purpose;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process for monitoring the system of internal control is appropriate to the entity’s circumstances considering the nature and complexity of the entity.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Considering monitoring over segregation of duties to the extent necessary e.g. if management monitors the controls over access rights and restrictions to verify they remain appropriate over time.</w:t>
            </w:r>
          </w:p>
        </w:tc>
        <w:tc>
          <w:tcPr>
            <w:tcW w:w="1801" w:type="dxa"/>
            <w:tcBorders/>
            <w:shd w:fill="auto" w:val="clear"/>
          </w:tcPr>
          <w:p>
            <w:pPr>
              <w:pStyle w:val="Normal"/>
              <w:spacing w:lineRule="auto" w:line="240" w:before="0" w:after="0"/>
              <w:rPr/>
            </w:pPr>
            <w:hyperlink r:id="rId20">
              <w:r>
                <w:rPr>
                  <w:rStyle w:val="InternetLink"/>
                  <w:rFonts w:cs="Arial" w:ascii="Arial" w:hAnsi="Arial"/>
                  <w:b/>
                  <w:sz w:val="20"/>
                  <w:szCs w:val="20"/>
                </w:rPr>
                <w:t>Internal Control Template.docx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764585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left"/>
      <w:pPr>
        <w:ind w:left="108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92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33920"/>
    <w:rPr>
      <w:color w:val="0563C1" w:themeColor="hyperlink"/>
      <w:u w:val="single"/>
    </w:rPr>
  </w:style>
  <w:style w:type="character" w:styleId="FollowedHyperlink">
    <w:name w:val="FollowedHyperlink"/>
    <w:basedOn w:val="DefaultParagraphFont"/>
    <w:uiPriority w:val="99"/>
    <w:semiHidden/>
    <w:unhideWhenUsed/>
    <w:qFormat/>
    <w:rsid w:val="00581544"/>
    <w:rPr>
      <w:color w:val="954F72" w:themeColor="followedHyperlink"/>
      <w:u w:val="single"/>
    </w:rPr>
  </w:style>
  <w:style w:type="character" w:styleId="HeaderChar" w:customStyle="1">
    <w:name w:val="Header Char"/>
    <w:basedOn w:val="DefaultParagraphFont"/>
    <w:link w:val="Header"/>
    <w:uiPriority w:val="99"/>
    <w:qFormat/>
    <w:rsid w:val="007c48b6"/>
    <w:rPr/>
  </w:style>
  <w:style w:type="character" w:styleId="FooterChar" w:customStyle="1">
    <w:name w:val="Footer Char"/>
    <w:basedOn w:val="DefaultParagraphFont"/>
    <w:link w:val="Footer"/>
    <w:uiPriority w:val="99"/>
    <w:qFormat/>
    <w:rsid w:val="007c48b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920"/>
    <w:pPr>
      <w:spacing w:before="0" w:after="160"/>
      <w:ind w:left="720" w:hanging="0"/>
      <w:contextualSpacing/>
    </w:pPr>
    <w:rPr/>
  </w:style>
  <w:style w:type="paragraph" w:styleId="Header">
    <w:name w:val="Header"/>
    <w:basedOn w:val="Normal"/>
    <w:link w:val="HeaderChar"/>
    <w:uiPriority w:val="99"/>
    <w:unhideWhenUsed/>
    <w:rsid w:val="007c48b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c48b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22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nternal%20Control%20Template.docx" TargetMode="External"/><Relationship Id="rId3" Type="http://schemas.openxmlformats.org/officeDocument/2006/relationships/hyperlink" Target="General%20Purpose%20CIS%20Template.docx" TargetMode="External"/><Relationship Id="rId4" Type="http://schemas.openxmlformats.org/officeDocument/2006/relationships/hyperlink" Target="../../../../../G:/My%20Drive/MZCO/Audit%20Manual/1.%20Planning/8%20Understand%20and%20Evaluate%20Internal%20Control/Internal%20Control%20Template.docx" TargetMode="External"/><Relationship Id="rId5" Type="http://schemas.openxmlformats.org/officeDocument/2006/relationships/hyperlink" Target="../../../../../G:/My%20Drive/MZCO/Audit%20Manual/1.%20Planning/8%20Understand%20and%20Evaluate%20Internal%20Control/Internal%20Control%20Template.docx" TargetMode="External"/><Relationship Id="rId6" Type="http://schemas.openxmlformats.org/officeDocument/2006/relationships/hyperlink" Target="../../../../../G:/My%20Drive/MZCO/Audit%20Manual/1.%20Planning/8%20Understand%20and%20Evaluate%20Internal%20Control/Internal%20Control%20Template.docx" TargetMode="External"/><Relationship Id="rId7" Type="http://schemas.openxmlformats.org/officeDocument/2006/relationships/hyperlink" Target="../../../../../G:/My%20Drive/MZCO/Audit%20Manual/1.%20Planning/8%20Understand%20and%20Evaluate%20Internal%20Control/Internal%20Control%20Template.docx" TargetMode="External"/><Relationship Id="rId8" Type="http://schemas.openxmlformats.org/officeDocument/2006/relationships/hyperlink" Target="../../../../../G:/My%20Drive/MZCO/Audit%20Manual/1.%20Planning/8%20Understand%20and%20Evaluate%20Internal%20Control/Internal%20Control%20Template.docx" TargetMode="External"/><Relationship Id="rId9" Type="http://schemas.openxmlformats.org/officeDocument/2006/relationships/hyperlink" Target="../../../../../G:/My%20Drive/MZCO/Audit%20Manual/1.%20Planning/8%20Understand%20and%20Evaluate%20Internal%20Control/Internal%20Control%20Template.docx" TargetMode="External"/><Relationship Id="rId10" Type="http://schemas.openxmlformats.org/officeDocument/2006/relationships/hyperlink" Target="../../../../../G:/My%20Drive/MZCO/Audit%20Manual/1.%20Planning/8%20Understand%20and%20Evaluate%20Internal%20Control/Internal%20Control%20Template.docx" TargetMode="External"/><Relationship Id="rId11" Type="http://schemas.openxmlformats.org/officeDocument/2006/relationships/hyperlink" Target="../../../../../G:/My%20Drive/MZCO/Audit%20Manual/1.%20Planning/8%20Understand%20and%20Evaluate%20Internal%20Control/Internal%20Control%20Template.docx" TargetMode="External"/><Relationship Id="rId12" Type="http://schemas.openxmlformats.org/officeDocument/2006/relationships/hyperlink" Target="../../../../../G:/My%20Drive/MZCO/Audit%20Manual/1.%20Planning/8%20Understand%20and%20Evaluate%20Internal%20Control/Internal%20Control%20Template.docx" TargetMode="External"/><Relationship Id="rId13" Type="http://schemas.openxmlformats.org/officeDocument/2006/relationships/hyperlink" Target="../../../../../G:/My%20Drive/MZCO/Audit%20Manual/1.%20Planning/8%20Understand%20and%20Evaluate%20Internal%20Control/Internal%20Control%20Template.docx" TargetMode="External"/><Relationship Id="rId14" Type="http://schemas.openxmlformats.org/officeDocument/2006/relationships/hyperlink" Target="../../../../../G:/My%20Drive/MZCO/Audit%20Manual/1.%20Planning/8%20Understand%20and%20Evaluate%20Internal%20Control/Internal%20Control%20Template.docx" TargetMode="External"/><Relationship Id="rId15" Type="http://schemas.openxmlformats.org/officeDocument/2006/relationships/hyperlink" Target="../../../../../G:/My%20Drive/MZCO/Audit%20Manual/1.%20Planning/8%20Understand%20and%20Evaluate%20Internal%20Control/Internal%20Control%20Template.docx" TargetMode="External"/><Relationship Id="rId16" Type="http://schemas.openxmlformats.org/officeDocument/2006/relationships/hyperlink" Target="../../../../../G:/My%20Drive/MZCO/Audit%20Manual/1.%20Planning/8%20Understand%20and%20Evaluate%20Internal%20Control/Internal%20Control%20Template.docx" TargetMode="External"/><Relationship Id="rId17" Type="http://schemas.openxmlformats.org/officeDocument/2006/relationships/hyperlink" Target="../../../../../G:/My%20Drive/MZCO/Audit%20Manual/1.%20Planning/8%20Understand%20and%20Evaluate%20Internal%20Control/Internal%20Control%20Template.docx" TargetMode="External"/><Relationship Id="rId18" Type="http://schemas.openxmlformats.org/officeDocument/2006/relationships/hyperlink" Target="../../../../../G:/My%20Drive/MZCO/Audit%20Manual/1.%20Planning/8%20Understand%20and%20Evaluate%20Internal%20Control/Internal%20Control%20Template.docx" TargetMode="External"/><Relationship Id="rId19" Type="http://schemas.openxmlformats.org/officeDocument/2006/relationships/hyperlink" Target="../../../../../G:/My%20Drive/MZCO/Audit%20Manual/1.%20Planning/8%20Understand%20and%20Evaluate%20Internal%20Control/Internal%20Control%20Template.docx" TargetMode="External"/><Relationship Id="rId20" Type="http://schemas.openxmlformats.org/officeDocument/2006/relationships/hyperlink" Target="../../../../../G:/My%20Drive/MZCO/Audit%20Manual/1.%20Planning/8%20Understand%20and%20Evaluate%20Internal%20Control/Internal%20Control%20Template.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7616-6699-48DD-B05D-71807053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Application>LibreOffice/6.1.5.2$Linux_X86_64 LibreOffice_project/10$Build-2</Application>
  <Pages>6</Pages>
  <Words>1776</Words>
  <Characters>10934</Characters>
  <CharactersWithSpaces>12545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2022-06-20T09:59:00Z</dcterms:created>
  <dc:creator>Maham Moin</dc:creator>
  <dc:description/>
  <dc:language>en-US</dc:language>
  <cp:lastModifiedBy/>
  <dcterms:modified xsi:type="dcterms:W3CDTF">2022-09-12T15:30:56Z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