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b/>
                <w:sz w:val="20"/>
                <w:szCs w:val="20"/>
              </w:rPr>
              <w:t>*</w:t>
            </w:r>
            <w:r>
              <w:rPr>
                <w:rFonts w:cs="Arial" w:ascii="Arial" w:hAnsi="Arial"/>
                <w:sz w:val="20"/>
                <w:szCs w:val="20"/>
              </w:rPr>
              <w:t>Use of Work of Auditor’s Expert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680"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761"/>
        <w:gridCol w:w="1801"/>
        <w:gridCol w:w="1798"/>
      </w:tblGrid>
      <w:tr>
        <w:trPr/>
        <w:tc>
          <w:tcPr>
            <w:tcW w:w="576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61"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to use the work of an auditor’s expert, where necessary.</w:t>
            </w:r>
          </w:p>
        </w:tc>
        <w:tc>
          <w:tcPr>
            <w:tcW w:w="1801" w:type="dxa"/>
            <w:tcBorders/>
            <w:shd w:fill="auto" w:val="clear"/>
          </w:tcPr>
          <w:p>
            <w:pPr>
              <w:pStyle w:val="Normal"/>
              <w:spacing w:lineRule="auto" w:line="240" w:before="0" w:after="0"/>
              <w:jc w:val="both"/>
              <w:rPr/>
            </w:pPr>
            <w:hyperlink r:id="rId2">
              <w:r>
                <w:rPr>
                  <w:rStyle w:val="InternetLink"/>
                  <w:rFonts w:cs="Arial" w:ascii="Arial" w:hAnsi="Arial"/>
                  <w:b/>
                  <w:sz w:val="20"/>
                  <w:szCs w:val="20"/>
                </w:rPr>
                <w:t>Planning Memorandum.docx</w:t>
              </w:r>
            </w:hyperlink>
          </w:p>
        </w:tc>
        <w:tc>
          <w:tcPr>
            <w:tcW w:w="1798" w:type="dxa"/>
            <w:tcBorders/>
            <w:shd w:fill="auto" w:val="clear"/>
          </w:tcPr>
          <w:p>
            <w:pPr>
              <w:pStyle w:val="Normal"/>
              <w:spacing w:lineRule="auto" w:line="240" w:before="0" w:after="0"/>
              <w:jc w:val="both"/>
              <w:rPr>
                <w:rFonts w:ascii="Arial" w:hAnsi="Arial" w:cs="Arial"/>
                <w:b/>
                <w:b/>
                <w:sz w:val="20"/>
                <w:szCs w:val="20"/>
              </w:rPr>
            </w:pPr>
            <w:r>
              <w:rPr>
                <w:rFonts w:cs="Arial" w:ascii="Arial" w:hAnsi="Arial"/>
                <w:b/>
                <w:sz w:val="20"/>
                <w:szCs w:val="20"/>
              </w:rPr>
            </w:r>
          </w:p>
        </w:tc>
      </w:tr>
      <w:tr>
        <w:trPr>
          <w:trHeight w:val="6373" w:hRule="atLeast"/>
        </w:trPr>
        <w:tc>
          <w:tcPr>
            <w:tcW w:w="5761"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performed the following on the auditor’s expert work:</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Evaluated whether the auditor’s expert has the necessary competence, capabilities and objectivity. In the case of an auditor’s internal expert, the engagement team considered whether the member firm implements quality control policies and procedures in accordance, with ISQC 1, or other equivalent national requirements. In the case of an auditor’s external expert, the evaluation of objectivity included inquiry regarding interests and relationships that may create a threat to that expert’s objectivity.</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Obtained a sufficient understanding of the field of expertise of the auditor’s expert in order to: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Determine the nature, scope and objectives of that expert’s work; and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Evaluate the adequacy of that work.</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Agreed, in writing when appropriate, on the following matters with the auditor’s expert: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scope and objectives of that expert’s work;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respective roles and responsibilities of the auditor and that expert;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timing and extent of communication between the auditor and that expert, including the form of any report to be provided by that expert;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need for the auditor’s expert to observe confidentiality requirements.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Evaluated the adequacy of the auditor’s expert’s work, including: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relevance and reasonableness of that expert’s findings or conclusions, and their consistency with other audit evidence;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relevance and reasonableness of any significant assumptions and methods used in the circumstances; and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relevance, completeness, and accuracy of any significant source data used.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determined whether the work of the auditor’s expert was adequate, and if not, the engagement team: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 xml:space="preserve">Agreed with that expert on the nature and extent of further work to be performed by that expert; or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Performed additional audit procedures appropriate to the circumstances.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Considered the following matters in determining the nature, timing and extent of procedures in relation to the above: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nature of the matter to which that expert’s work relates;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risks of material misstatement in the matter to which that expert’s work relates;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significance of that expert’s work in the context of the audit;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team’s knowledge of and experience with previous work performed by that expert; and</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Whether that expert is subject to the firm’s quality control policies and procedures.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Appropriately documented the matters related to work of the auditor’s expert as explained above.</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Recognized that it shall not refer to the work of an auditor’s expert in the auditor’s report containing an unmodified opinion unless required by law or regulation to do so. If such reference is required by law or regulation, auditor’s report shall indicate that the reference does not reduce the auditor’s responsibility for the auditor’s opinion. Moreover, if reference to the work of an auditor’s expert is made in the auditor’s report because such reference is relevant to an understanding of a modification to the auditor’s opinion, auditor’s report shall indicate that such reference does not reduce the auditor’s responsibility for that opinion.</w:t>
            </w:r>
          </w:p>
        </w:tc>
        <w:tc>
          <w:tcPr>
            <w:tcW w:w="1801" w:type="dxa"/>
            <w:vMerge w:val="restart"/>
            <w:tcBorders/>
            <w:shd w:fill="auto" w:val="clear"/>
          </w:tcPr>
          <w:p>
            <w:pPr>
              <w:pStyle w:val="Normal"/>
              <w:spacing w:lineRule="auto" w:line="240" w:before="0" w:after="0"/>
              <w:jc w:val="both"/>
              <w:rPr/>
            </w:pPr>
            <w:hyperlink r:id="rId3">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agreement with the auditor’s expert.</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61" w:type="dxa"/>
            <w:vMerge w:val="continue"/>
            <w:tcBorders/>
            <w:shd w:fill="auto" w:val="clear"/>
          </w:tcPr>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Normal"/>
              <w:spacing w:lineRule="auto" w:line="240" w:before="0" w:after="0"/>
              <w:jc w:val="both"/>
              <w:rPr/>
            </w:pPr>
            <w:r>
              <w:rPr/>
            </w:r>
            <w:bookmarkStart w:id="0" w:name="_GoBack"/>
            <w:bookmarkStart w:id="1" w:name="_GoBack"/>
            <w:bookmarkEnd w:id="1"/>
          </w:p>
        </w:tc>
      </w:tr>
    </w:tbl>
    <w:p>
      <w:pPr>
        <w:pStyle w:val="Normal"/>
        <w:spacing w:lineRule="auto" w:line="240"/>
        <w:jc w:val="both"/>
        <w:rPr>
          <w:rFonts w:ascii="Arial" w:hAnsi="Arial" w:cs="Arial"/>
          <w:b/>
          <w:b/>
          <w:sz w:val="20"/>
          <w:szCs w:val="20"/>
        </w:rPr>
      </w:pPr>
      <w:r>
        <w:rPr>
          <w:rFonts w:cs="Arial" w:ascii="Arial" w:hAnsi="Arial"/>
          <w:b/>
          <w:sz w:val="20"/>
          <w:szCs w:val="20"/>
        </w:rPr>
      </w:r>
    </w:p>
    <w:p>
      <w:pPr>
        <w:pStyle w:val="Normal"/>
        <w:spacing w:lineRule="auto" w:line="240" w:before="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241796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lowerLetter"/>
      <w:lvlText w:val="%4."/>
      <w:lvlJc w:val="left"/>
      <w:pPr>
        <w:ind w:left="144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e60957"/>
    <w:rPr/>
  </w:style>
  <w:style w:type="character" w:styleId="FooterChar" w:customStyle="1">
    <w:name w:val="Footer Char"/>
    <w:basedOn w:val="DefaultParagraphFont"/>
    <w:link w:val="Footer"/>
    <w:uiPriority w:val="99"/>
    <w:qFormat/>
    <w:rsid w:val="00e60957"/>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e6095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095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a2e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4%20Planning%20Process/Planning%20Memorandum.docx" TargetMode="External"/><Relationship Id="rId3" Type="http://schemas.openxmlformats.org/officeDocument/2006/relationships/hyperlink" Target="../../../../../G:/My%20Drive/MZCO/Audit%20Manual/1.%20Planning/17-20%20Other%20Specific%20Considerations/Other%20Specific%20Consideration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28DA7-4667-4FC9-ADCD-8F1632104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Application>LibreOffice/6.1.5.2$Linux_X86_64 LibreOffice_project/10$Build-2</Application>
  <Pages>2</Pages>
  <Words>571</Words>
  <Characters>3116</Characters>
  <CharactersWithSpaces>3630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2022-09-12T15:32:33Z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