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2406"/>
        <w:gridCol w:w="3477"/>
        <w:gridCol w:w="3477"/>
      </w:tblGrid>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Client:</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52" w:before="0" w:after="160"/>
              <w:jc w:val="both"/>
              <w:rPr/>
            </w:pPr>
            <w:bookmarkStart w:id="0" w:name="__DdeLink__18962_3283385913"/>
            <w:r>
              <w:rPr>
                <w:rFonts w:eastAsia="Calibri" w:cs="Arial" w:ascii="Arial" w:hAnsi="Arial"/>
                <w:b/>
                <w:bCs/>
                <w:sz w:val="20"/>
                <w:szCs w:val="20"/>
              </w:rPr>
              <w:t>$</w:t>
            </w:r>
            <w:bookmarkEnd w:id="0"/>
            <w:r>
              <w:rPr>
                <w:rFonts w:eastAsia="Calibri" w:cs="Arial" w:ascii="Arial" w:hAnsi="Arial"/>
                <w:b/>
                <w:bCs/>
                <w:sz w:val="20"/>
                <w:szCs w:val="20"/>
              </w:rPr>
              <w:t>{client}</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Period end date:</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pPr>
            <w:r>
              <w:rPr>
                <w:rFonts w:eastAsia="Calibri" w:cs="Arial" w:ascii="Arial" w:hAnsi="Arial"/>
                <w:b/>
                <w:bCs/>
                <w:sz w:val="20"/>
                <w:szCs w:val="20"/>
              </w:rPr>
              <w:t>$</w:t>
            </w:r>
            <w:r>
              <w:rPr>
                <w:rFonts w:eastAsia="Calibri" w:cs="Arial" w:ascii="Arial" w:hAnsi="Arial"/>
                <w:b/>
                <w:bCs/>
                <w:sz w:val="20"/>
                <w:szCs w:val="20"/>
              </w:rPr>
              <w:t>{</w:t>
            </w:r>
            <w:r>
              <w:rPr>
                <w:rFonts w:eastAsia="Calibri" w:cs="Arial" w:ascii="Arial" w:hAnsi="Arial"/>
                <w:b/>
                <w:bCs/>
                <w:sz w:val="20"/>
                <w:szCs w:val="20"/>
              </w:rPr>
              <w:t>start</w:t>
            </w:r>
            <w:r>
              <w:rPr>
                <w:rFonts w:eastAsia="Calibri" w:cs="Arial" w:ascii="Arial" w:hAnsi="Arial"/>
                <w:b/>
                <w:bCs/>
                <w:sz w:val="20"/>
                <w:szCs w:val="20"/>
              </w:rPr>
              <w:t xml:space="preserve">} </w:t>
            </w:r>
            <w:r>
              <w:rPr>
                <w:rFonts w:eastAsia="Calibri" w:cs="Arial" w:ascii="Arial" w:hAnsi="Arial"/>
                <w:b/>
                <w:bCs/>
                <w:sz w:val="20"/>
                <w:szCs w:val="20"/>
              </w:rPr>
              <w:t>- $</w:t>
            </w:r>
            <w:r>
              <w:rPr>
                <w:rFonts w:eastAsia="Calibri" w:cs="Arial" w:ascii="Arial" w:hAnsi="Arial"/>
                <w:b/>
                <w:bCs/>
                <w:sz w:val="20"/>
                <w:szCs w:val="20"/>
              </w:rPr>
              <w:t>{</w:t>
            </w:r>
            <w:r>
              <w:rPr>
                <w:rFonts w:eastAsia="Calibri" w:cs="Arial" w:ascii="Arial" w:hAnsi="Arial"/>
                <w:b/>
                <w:bCs/>
                <w:sz w:val="20"/>
                <w:szCs w:val="20"/>
              </w:rPr>
              <w:t>end</w:t>
            </w:r>
            <w:r>
              <w:rPr>
                <w:rFonts w:eastAsia="Calibri" w:cs="Arial" w:ascii="Arial" w:hAnsi="Arial"/>
                <w:b/>
                <w:bCs/>
                <w:sz w:val="20"/>
                <w:szCs w:val="20"/>
              </w:rPr>
              <w:t>}</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EGA title:</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sz w:val="20"/>
                <w:szCs w:val="20"/>
              </w:rPr>
            </w:pPr>
            <w:r>
              <w:rPr>
                <w:rFonts w:cs="Arial" w:ascii="Arial" w:hAnsi="Arial"/>
                <w:b/>
                <w:sz w:val="20"/>
                <w:szCs w:val="20"/>
              </w:rPr>
              <w:t>*</w:t>
            </w:r>
            <w:r>
              <w:rPr>
                <w:rFonts w:cs="Arial" w:ascii="Arial" w:hAnsi="Arial"/>
                <w:sz w:val="20"/>
                <w:szCs w:val="20"/>
              </w:rPr>
              <w:t>Use of Work of Auditor’s Expert</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Ref. no.:</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r>
          </w:p>
        </w:tc>
      </w:tr>
      <w:tr>
        <w:trPr>
          <w:trHeight w:val="680"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Prepared by:</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pPr>
            <w:r>
              <w:rPr>
                <w:rFonts w:eastAsia="Calibri" w:cs="Arial" w:ascii="Arial" w:hAnsi="Arial"/>
                <w:sz w:val="20"/>
                <w:szCs w:val="20"/>
              </w:rPr>
              <w:t>$</w:t>
            </w:r>
            <w:r>
              <w:rPr>
                <w:rFonts w:eastAsia="Calibri" w:cs="Arial" w:ascii="Arial" w:hAnsi="Arial"/>
                <w:sz w:val="20"/>
                <w:szCs w:val="20"/>
              </w:rPr>
              <w:t>{</w:t>
            </w:r>
            <w:r>
              <w:rPr>
                <w:rFonts w:eastAsia="Calibri" w:cs="Arial" w:ascii="Arial" w:hAnsi="Arial"/>
                <w:sz w:val="20"/>
                <w:szCs w:val="20"/>
              </w:rPr>
              <w:t>user</w:t>
            </w:r>
            <w:r>
              <w:rPr>
                <w:rFonts w:eastAsia="Calibri" w:cs="Arial" w:ascii="Arial" w:hAnsi="Arial"/>
                <w:sz w:val="20"/>
                <w:szCs w:val="20"/>
              </w:rPr>
              <w:t>}</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sz w:val="20"/>
                <w:szCs w:val="20"/>
              </w:rPr>
            </w:pPr>
            <w:r>
              <w:rPr>
                <w:rFonts w:cs="Arial" w:ascii="Arial" w:hAnsi="Arial"/>
                <w:b/>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 xml:space="preserve">Approved by Manager: </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Calibri" w:cs="Arial"/>
                <w:b/>
                <w:b/>
                <w:sz w:val="20"/>
                <w:szCs w:val="20"/>
              </w:rPr>
            </w:pPr>
            <w:r>
              <w:rPr>
                <w:rFonts w:eastAsia="Calibri" w:cs="Arial" w:ascii="Arial" w:hAnsi="Arial"/>
                <w:b/>
                <w:sz w:val="20"/>
                <w:szCs w:val="20"/>
              </w:rPr>
              <w:t>${manager}</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sz w:val="20"/>
                <w:szCs w:val="20"/>
              </w:rPr>
            </w:pPr>
            <w:r>
              <w:rPr>
                <w:rFonts w:cs="Arial" w:ascii="Arial" w:hAnsi="Arial"/>
                <w:b/>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Approved by Partner:</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Calibri" w:cs="Arial"/>
                <w:b/>
                <w:b/>
                <w:sz w:val="20"/>
                <w:szCs w:val="20"/>
              </w:rPr>
            </w:pPr>
            <w:r>
              <w:rPr>
                <w:rFonts w:eastAsia="Calibri" w:cs="Arial" w:ascii="Arial" w:hAnsi="Arial"/>
                <w:b/>
                <w:sz w:val="20"/>
                <w:szCs w:val="20"/>
              </w:rPr>
              <w:t>${partner}</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sz w:val="20"/>
                <w:szCs w:val="20"/>
              </w:rPr>
            </w:pPr>
            <w:r>
              <w:rPr>
                <w:rFonts w:cs="Arial" w:ascii="Arial" w:hAnsi="Arial"/>
                <w:b/>
                <w:sz w:val="20"/>
                <w:szCs w:val="20"/>
              </w:rPr>
              <w:t>Date:</w:t>
            </w:r>
          </w:p>
        </w:tc>
      </w:tr>
    </w:tbl>
    <w:p>
      <w:pPr>
        <w:pStyle w:val="Normal"/>
        <w:spacing w:lineRule="auto" w:line="240" w:before="240" w:after="160"/>
        <w:jc w:val="both"/>
        <w:rPr>
          <w:rFonts w:ascii="Arial" w:hAnsi="Arial" w:cs="Arial"/>
          <w:b/>
          <w:b/>
          <w:sz w:val="20"/>
          <w:szCs w:val="20"/>
        </w:rPr>
      </w:pPr>
      <w:r>
        <w:rPr>
          <w:rFonts w:cs="Arial" w:ascii="Arial" w:hAnsi="Arial"/>
          <w:b/>
          <w:sz w:val="20"/>
          <w:szCs w:val="20"/>
        </w:rPr>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5760"/>
        <w:gridCol w:w="1801"/>
        <w:gridCol w:w="1799"/>
      </w:tblGrid>
      <w:tr>
        <w:trPr/>
        <w:tc>
          <w:tcPr>
            <w:tcW w:w="5760"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Procedures performed</w:t>
            </w:r>
          </w:p>
        </w:tc>
        <w:tc>
          <w:tcPr>
            <w:tcW w:w="1801"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Links</w:t>
            </w:r>
          </w:p>
        </w:tc>
        <w:tc>
          <w:tcPr>
            <w:tcW w:w="1799"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Ref. no.</w:t>
            </w:r>
          </w:p>
        </w:tc>
      </w:tr>
      <w:tr>
        <w:trPr/>
        <w:tc>
          <w:tcPr>
            <w:tcW w:w="5760"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determined whether to use the work of an auditor’s expert, where necessary.</w:t>
            </w:r>
          </w:p>
        </w:tc>
        <w:tc>
          <w:tcPr>
            <w:tcW w:w="1801" w:type="dxa"/>
            <w:tcBorders/>
            <w:shd w:fill="auto" w:val="clear"/>
          </w:tcPr>
          <w:p>
            <w:pPr>
              <w:pStyle w:val="Normal"/>
              <w:spacing w:lineRule="auto" w:line="240" w:before="0" w:after="0"/>
              <w:jc w:val="both"/>
              <w:rPr/>
            </w:pPr>
            <w:hyperlink r:id="rId2">
              <w:r>
                <w:rPr>
                  <w:rStyle w:val="InternetLink"/>
                  <w:rFonts w:cs="Arial" w:ascii="Arial" w:hAnsi="Arial"/>
                  <w:b/>
                  <w:sz w:val="20"/>
                  <w:szCs w:val="20"/>
                </w:rPr>
                <w:t>Planning Memorandum.docx</w:t>
              </w:r>
            </w:hyperlink>
          </w:p>
        </w:tc>
        <w:tc>
          <w:tcPr>
            <w:tcW w:w="1799" w:type="dxa"/>
            <w:tcBorders/>
            <w:shd w:fill="auto" w:val="clear"/>
          </w:tcPr>
          <w:p>
            <w:pPr>
              <w:pStyle w:val="Normal"/>
              <w:spacing w:lineRule="auto" w:line="240" w:before="0" w:after="0"/>
              <w:jc w:val="both"/>
              <w:rPr>
                <w:rFonts w:ascii="Arial" w:hAnsi="Arial" w:cs="Arial"/>
                <w:b/>
                <w:b/>
                <w:sz w:val="20"/>
                <w:szCs w:val="20"/>
              </w:rPr>
            </w:pPr>
            <w:r>
              <w:rPr>
                <w:rFonts w:cs="Arial" w:ascii="Arial" w:hAnsi="Arial"/>
                <w:b/>
                <w:sz w:val="20"/>
                <w:szCs w:val="20"/>
              </w:rPr>
            </w:r>
          </w:p>
        </w:tc>
      </w:tr>
      <w:tr>
        <w:trPr>
          <w:trHeight w:val="6373" w:hRule="atLeast"/>
        </w:trPr>
        <w:tc>
          <w:tcPr>
            <w:tcW w:w="5760" w:type="dxa"/>
            <w:vMerge w:val="restart"/>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performed the following on the auditor’s expert work:</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Evaluated whether the auditor’s expert has the necessary competence, capabilities and objectivity. In the case of an auditor’s internal expert, the engagement team considered whether the member firm implements quality control policies and procedures in accordance, with ISQC 1, or other equivalent national requirements. In the case of an auditor’s external expert, the evaluation of objectivity included inquiry regarding interests and relationships that may create a threat to that expert’s objectivity.</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 xml:space="preserve">Obtained a sufficient understanding of the field of expertise of the auditor’s expert in order to: </w:t>
            </w:r>
          </w:p>
          <w:p>
            <w:pPr>
              <w:pStyle w:val="ListParagraph"/>
              <w:numPr>
                <w:ilvl w:val="2"/>
                <w:numId w:val="1"/>
              </w:numPr>
              <w:spacing w:lineRule="auto" w:line="240" w:before="0" w:after="0"/>
              <w:contextualSpacing/>
              <w:jc w:val="both"/>
              <w:rPr>
                <w:rFonts w:ascii="Arial" w:hAnsi="Arial" w:cs="Arial"/>
                <w:sz w:val="20"/>
                <w:szCs w:val="20"/>
              </w:rPr>
            </w:pPr>
            <w:r>
              <w:rPr>
                <w:rFonts w:cs="Arial" w:ascii="Arial" w:hAnsi="Arial"/>
                <w:sz w:val="20"/>
                <w:szCs w:val="20"/>
              </w:rPr>
              <w:t>Determine the nature, scope and objectives of that expert’s work; and</w:t>
            </w:r>
          </w:p>
          <w:p>
            <w:pPr>
              <w:pStyle w:val="ListParagraph"/>
              <w:numPr>
                <w:ilvl w:val="2"/>
                <w:numId w:val="1"/>
              </w:numPr>
              <w:spacing w:lineRule="auto" w:line="240" w:before="0" w:after="0"/>
              <w:contextualSpacing/>
              <w:jc w:val="both"/>
              <w:rPr>
                <w:rFonts w:ascii="Arial" w:hAnsi="Arial" w:cs="Arial"/>
                <w:sz w:val="20"/>
                <w:szCs w:val="20"/>
              </w:rPr>
            </w:pPr>
            <w:r>
              <w:rPr>
                <w:rFonts w:cs="Arial" w:ascii="Arial" w:hAnsi="Arial"/>
                <w:sz w:val="20"/>
                <w:szCs w:val="20"/>
              </w:rPr>
              <w:t>Evaluate the adequacy of that work.</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 xml:space="preserve">Agreed, in writing when appropriate, on the following matters with the auditor’s expert: </w:t>
            </w:r>
          </w:p>
          <w:p>
            <w:pPr>
              <w:pStyle w:val="ListParagraph"/>
              <w:numPr>
                <w:ilvl w:val="2"/>
                <w:numId w:val="1"/>
              </w:numPr>
              <w:spacing w:lineRule="auto" w:line="240" w:before="0" w:after="0"/>
              <w:contextualSpacing/>
              <w:jc w:val="both"/>
              <w:rPr>
                <w:rFonts w:ascii="Arial" w:hAnsi="Arial" w:cs="Arial"/>
                <w:sz w:val="20"/>
                <w:szCs w:val="20"/>
              </w:rPr>
            </w:pPr>
            <w:r>
              <w:rPr>
                <w:rFonts w:cs="Arial" w:ascii="Arial" w:hAnsi="Arial"/>
                <w:sz w:val="20"/>
                <w:szCs w:val="20"/>
              </w:rPr>
              <w:t xml:space="preserve">The nature, scope and objectives of that expert’s work; </w:t>
            </w:r>
          </w:p>
          <w:p>
            <w:pPr>
              <w:pStyle w:val="ListParagraph"/>
              <w:numPr>
                <w:ilvl w:val="2"/>
                <w:numId w:val="1"/>
              </w:numPr>
              <w:spacing w:lineRule="auto" w:line="240" w:before="0" w:after="0"/>
              <w:contextualSpacing/>
              <w:jc w:val="both"/>
              <w:rPr>
                <w:rFonts w:ascii="Arial" w:hAnsi="Arial" w:cs="Arial"/>
                <w:sz w:val="20"/>
                <w:szCs w:val="20"/>
              </w:rPr>
            </w:pPr>
            <w:r>
              <w:rPr>
                <w:rFonts w:cs="Arial" w:ascii="Arial" w:hAnsi="Arial"/>
                <w:sz w:val="20"/>
                <w:szCs w:val="20"/>
              </w:rPr>
              <w:t xml:space="preserve">The respective roles and responsibilities of the auditor and that expert; </w:t>
            </w:r>
          </w:p>
          <w:p>
            <w:pPr>
              <w:pStyle w:val="ListParagraph"/>
              <w:numPr>
                <w:ilvl w:val="2"/>
                <w:numId w:val="1"/>
              </w:numPr>
              <w:spacing w:lineRule="auto" w:line="240" w:before="0" w:after="0"/>
              <w:contextualSpacing/>
              <w:jc w:val="both"/>
              <w:rPr>
                <w:rFonts w:ascii="Arial" w:hAnsi="Arial" w:cs="Arial"/>
                <w:sz w:val="20"/>
                <w:szCs w:val="20"/>
              </w:rPr>
            </w:pPr>
            <w:r>
              <w:rPr>
                <w:rFonts w:cs="Arial" w:ascii="Arial" w:hAnsi="Arial"/>
                <w:sz w:val="20"/>
                <w:szCs w:val="20"/>
              </w:rPr>
              <w:t xml:space="preserve">The nature, timing and extent of communication between the auditor and that expert, including the form of any report to be provided by that expert; and </w:t>
            </w:r>
          </w:p>
          <w:p>
            <w:pPr>
              <w:pStyle w:val="ListParagraph"/>
              <w:numPr>
                <w:ilvl w:val="2"/>
                <w:numId w:val="1"/>
              </w:numPr>
              <w:spacing w:lineRule="auto" w:line="240" w:before="0" w:after="0"/>
              <w:contextualSpacing/>
              <w:jc w:val="both"/>
              <w:rPr>
                <w:rFonts w:ascii="Arial" w:hAnsi="Arial" w:cs="Arial"/>
                <w:sz w:val="20"/>
                <w:szCs w:val="20"/>
              </w:rPr>
            </w:pPr>
            <w:r>
              <w:rPr>
                <w:rFonts w:cs="Arial" w:ascii="Arial" w:hAnsi="Arial"/>
                <w:sz w:val="20"/>
                <w:szCs w:val="20"/>
              </w:rPr>
              <w:t xml:space="preserve">The need for the auditor’s expert to observe confidentiality requirements. </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 xml:space="preserve">Evaluated the adequacy of the auditor’s expert’s work, including: </w:t>
            </w:r>
          </w:p>
          <w:p>
            <w:pPr>
              <w:pStyle w:val="ListParagraph"/>
              <w:numPr>
                <w:ilvl w:val="2"/>
                <w:numId w:val="1"/>
              </w:numPr>
              <w:spacing w:lineRule="auto" w:line="240" w:before="0" w:after="0"/>
              <w:contextualSpacing/>
              <w:jc w:val="both"/>
              <w:rPr>
                <w:rFonts w:ascii="Arial" w:hAnsi="Arial" w:cs="Arial"/>
                <w:sz w:val="20"/>
                <w:szCs w:val="20"/>
              </w:rPr>
            </w:pPr>
            <w:r>
              <w:rPr>
                <w:rFonts w:cs="Arial" w:ascii="Arial" w:hAnsi="Arial"/>
                <w:sz w:val="20"/>
                <w:szCs w:val="20"/>
              </w:rPr>
              <w:t xml:space="preserve">The relevance and reasonableness of that expert’s findings or conclusions, and their consistency with other audit evidence; </w:t>
            </w:r>
          </w:p>
          <w:p>
            <w:pPr>
              <w:pStyle w:val="ListParagraph"/>
              <w:numPr>
                <w:ilvl w:val="2"/>
                <w:numId w:val="1"/>
              </w:numPr>
              <w:spacing w:lineRule="auto" w:line="240" w:before="0" w:after="0"/>
              <w:contextualSpacing/>
              <w:jc w:val="both"/>
              <w:rPr>
                <w:rFonts w:ascii="Arial" w:hAnsi="Arial" w:cs="Arial"/>
                <w:sz w:val="20"/>
                <w:szCs w:val="20"/>
              </w:rPr>
            </w:pPr>
            <w:r>
              <w:rPr>
                <w:rFonts w:cs="Arial" w:ascii="Arial" w:hAnsi="Arial"/>
                <w:sz w:val="20"/>
                <w:szCs w:val="20"/>
              </w:rPr>
              <w:t xml:space="preserve">The relevance and reasonableness of any significant assumptions and methods used in the circumstances; and </w:t>
            </w:r>
          </w:p>
          <w:p>
            <w:pPr>
              <w:pStyle w:val="ListParagraph"/>
              <w:numPr>
                <w:ilvl w:val="2"/>
                <w:numId w:val="1"/>
              </w:numPr>
              <w:spacing w:lineRule="auto" w:line="240" w:before="0" w:after="0"/>
              <w:contextualSpacing/>
              <w:jc w:val="both"/>
              <w:rPr>
                <w:rFonts w:ascii="Arial" w:hAnsi="Arial" w:cs="Arial"/>
                <w:sz w:val="20"/>
                <w:szCs w:val="20"/>
              </w:rPr>
            </w:pPr>
            <w:r>
              <w:rPr>
                <w:rFonts w:cs="Arial" w:ascii="Arial" w:hAnsi="Arial"/>
                <w:sz w:val="20"/>
                <w:szCs w:val="20"/>
              </w:rPr>
              <w:t xml:space="preserve">The relevance, completeness, and accuracy of any significant source data used. </w:t>
            </w:r>
          </w:p>
          <w:p>
            <w:pPr>
              <w:pStyle w:val="ListParagraph"/>
              <w:numPr>
                <w:ilvl w:val="2"/>
                <w:numId w:val="1"/>
              </w:numPr>
              <w:spacing w:lineRule="auto" w:line="240" w:before="0" w:after="0"/>
              <w:contextualSpacing/>
              <w:jc w:val="both"/>
              <w:rPr>
                <w:rFonts w:ascii="Arial" w:hAnsi="Arial" w:cs="Arial"/>
                <w:sz w:val="20"/>
                <w:szCs w:val="20"/>
              </w:rPr>
            </w:pPr>
            <w:r>
              <w:rPr>
                <w:rFonts w:cs="Arial" w:ascii="Arial" w:hAnsi="Arial"/>
                <w:sz w:val="20"/>
                <w:szCs w:val="20"/>
              </w:rPr>
              <w:t xml:space="preserve">The engagement team determined whether the work of the auditor’s expert was adequate, and if not, the engagement team: </w:t>
            </w:r>
          </w:p>
          <w:p>
            <w:pPr>
              <w:pStyle w:val="ListParagraph"/>
              <w:numPr>
                <w:ilvl w:val="3"/>
                <w:numId w:val="2"/>
              </w:numPr>
              <w:spacing w:lineRule="auto" w:line="240" w:before="0" w:after="0"/>
              <w:contextualSpacing/>
              <w:jc w:val="both"/>
              <w:rPr>
                <w:rFonts w:ascii="Arial" w:hAnsi="Arial" w:cs="Arial"/>
                <w:sz w:val="20"/>
                <w:szCs w:val="20"/>
              </w:rPr>
            </w:pPr>
            <w:r>
              <w:rPr>
                <w:rFonts w:cs="Arial" w:ascii="Arial" w:hAnsi="Arial"/>
                <w:sz w:val="20"/>
                <w:szCs w:val="20"/>
              </w:rPr>
              <w:t xml:space="preserve">Agreed with that expert on the nature and extent of further work to be performed by that expert; or </w:t>
            </w:r>
          </w:p>
          <w:p>
            <w:pPr>
              <w:pStyle w:val="ListParagraph"/>
              <w:numPr>
                <w:ilvl w:val="3"/>
                <w:numId w:val="2"/>
              </w:numPr>
              <w:spacing w:lineRule="auto" w:line="240" w:before="0" w:after="0"/>
              <w:contextualSpacing/>
              <w:jc w:val="both"/>
              <w:rPr>
                <w:rFonts w:ascii="Arial" w:hAnsi="Arial" w:cs="Arial"/>
                <w:sz w:val="20"/>
                <w:szCs w:val="20"/>
              </w:rPr>
            </w:pPr>
            <w:r>
              <w:rPr>
                <w:rFonts w:cs="Arial" w:ascii="Arial" w:hAnsi="Arial"/>
                <w:sz w:val="20"/>
                <w:szCs w:val="20"/>
              </w:rPr>
              <w:t>Performed additional audit procedures appropriate to the circumstances.</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 xml:space="preserve">Considered the following matters in determining the nature, timing and extent of procedures in relation to the above: </w:t>
            </w:r>
          </w:p>
          <w:p>
            <w:pPr>
              <w:pStyle w:val="ListParagraph"/>
              <w:numPr>
                <w:ilvl w:val="2"/>
                <w:numId w:val="1"/>
              </w:numPr>
              <w:spacing w:lineRule="auto" w:line="240" w:before="0" w:after="0"/>
              <w:contextualSpacing/>
              <w:jc w:val="both"/>
              <w:rPr>
                <w:rFonts w:ascii="Arial" w:hAnsi="Arial" w:cs="Arial"/>
                <w:sz w:val="20"/>
                <w:szCs w:val="20"/>
              </w:rPr>
            </w:pPr>
            <w:r>
              <w:rPr>
                <w:rFonts w:cs="Arial" w:ascii="Arial" w:hAnsi="Arial"/>
                <w:sz w:val="20"/>
                <w:szCs w:val="20"/>
              </w:rPr>
              <w:t xml:space="preserve">The nature of the matter to which that expert’s work relates; </w:t>
            </w:r>
          </w:p>
          <w:p>
            <w:pPr>
              <w:pStyle w:val="ListParagraph"/>
              <w:numPr>
                <w:ilvl w:val="2"/>
                <w:numId w:val="1"/>
              </w:numPr>
              <w:spacing w:lineRule="auto" w:line="240" w:before="0" w:after="0"/>
              <w:contextualSpacing/>
              <w:jc w:val="both"/>
              <w:rPr>
                <w:rFonts w:ascii="Arial" w:hAnsi="Arial" w:cs="Arial"/>
                <w:sz w:val="20"/>
                <w:szCs w:val="20"/>
              </w:rPr>
            </w:pPr>
            <w:r>
              <w:rPr>
                <w:rFonts w:cs="Arial" w:ascii="Arial" w:hAnsi="Arial"/>
                <w:sz w:val="20"/>
                <w:szCs w:val="20"/>
              </w:rPr>
              <w:t xml:space="preserve">The risks of material misstatement in the matter to which that expert’s work relates; </w:t>
            </w:r>
          </w:p>
          <w:p>
            <w:pPr>
              <w:pStyle w:val="ListParagraph"/>
              <w:numPr>
                <w:ilvl w:val="2"/>
                <w:numId w:val="1"/>
              </w:numPr>
              <w:spacing w:lineRule="auto" w:line="240" w:before="0" w:after="0"/>
              <w:contextualSpacing/>
              <w:jc w:val="both"/>
              <w:rPr>
                <w:rFonts w:ascii="Arial" w:hAnsi="Arial" w:cs="Arial"/>
                <w:sz w:val="20"/>
                <w:szCs w:val="20"/>
              </w:rPr>
            </w:pPr>
            <w:r>
              <w:rPr>
                <w:rFonts w:cs="Arial" w:ascii="Arial" w:hAnsi="Arial"/>
                <w:sz w:val="20"/>
                <w:szCs w:val="20"/>
              </w:rPr>
              <w:t xml:space="preserve">The significance of that expert’s work in the context of the audit; </w:t>
            </w:r>
          </w:p>
          <w:p>
            <w:pPr>
              <w:pStyle w:val="ListParagraph"/>
              <w:numPr>
                <w:ilvl w:val="2"/>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team’s knowledge of and experience with previous work performed by that expert; and</w:t>
            </w:r>
          </w:p>
          <w:p>
            <w:pPr>
              <w:pStyle w:val="ListParagraph"/>
              <w:numPr>
                <w:ilvl w:val="2"/>
                <w:numId w:val="1"/>
              </w:numPr>
              <w:spacing w:lineRule="auto" w:line="240" w:before="0" w:after="0"/>
              <w:contextualSpacing/>
              <w:jc w:val="both"/>
              <w:rPr>
                <w:rFonts w:ascii="Arial" w:hAnsi="Arial" w:cs="Arial"/>
                <w:sz w:val="20"/>
                <w:szCs w:val="20"/>
              </w:rPr>
            </w:pPr>
            <w:r>
              <w:rPr>
                <w:rFonts w:cs="Arial" w:ascii="Arial" w:hAnsi="Arial"/>
                <w:sz w:val="20"/>
                <w:szCs w:val="20"/>
              </w:rPr>
              <w:t>Whether that expert is subject to the firm’s quality control policies and procedures.</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Appropriately documented the matters related to work of the auditor’s expert as explained above.</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Recognized that it shall not refer to the work of an auditor’s expert in the auditor’s report containing an unmodified opinion unless required by law or regulation to do so. If such reference is required by law or regulation, auditor’s report shall indicate that the reference does not reduce the auditor’s responsibility for the auditor’s opinion. Moreover, if reference to the work of an auditor’s expert is made in the auditor’s report because such reference is relevant to an understanding of a modification to the auditor’s opinion, auditor’s report shall indicate that such reference does not reduce the auditor’s responsibility for that opinion.</w:t>
            </w:r>
          </w:p>
        </w:tc>
        <w:tc>
          <w:tcPr>
            <w:tcW w:w="1801" w:type="dxa"/>
            <w:vMerge w:val="restart"/>
            <w:tcBorders/>
            <w:shd w:fill="auto" w:val="clear"/>
          </w:tcPr>
          <w:p>
            <w:pPr>
              <w:pStyle w:val="Normal"/>
              <w:spacing w:lineRule="auto" w:line="240" w:before="0" w:after="0"/>
              <w:jc w:val="both"/>
              <w:rPr/>
            </w:pPr>
            <w:hyperlink r:id="rId3">
              <w:r>
                <w:rPr>
                  <w:rStyle w:val="InternetLink"/>
                  <w:rFonts w:cs="Arial" w:ascii="Arial" w:hAnsi="Arial"/>
                  <w:b/>
                  <w:sz w:val="20"/>
                  <w:szCs w:val="20"/>
                </w:rPr>
                <w:t>Other Specific Considerations.docx</w:t>
              </w:r>
            </w:hyperlink>
          </w:p>
          <w:p>
            <w:pPr>
              <w:pStyle w:val="Normal"/>
              <w:spacing w:lineRule="auto" w:line="240" w:before="0" w:after="0"/>
              <w:jc w:val="both"/>
              <w:rPr>
                <w:rFonts w:ascii="Arial" w:hAnsi="Arial" w:cs="Arial"/>
                <w:b/>
                <w:b/>
                <w:sz w:val="20"/>
                <w:szCs w:val="20"/>
              </w:rPr>
            </w:pPr>
            <w:r>
              <w:rPr>
                <w:rFonts w:cs="Arial" w:ascii="Arial" w:hAnsi="Arial"/>
                <w:b/>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t>Attach agreement with the auditor’s expert.</w:t>
            </w:r>
          </w:p>
        </w:tc>
        <w:tc>
          <w:tcPr>
            <w:tcW w:w="179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5760" w:type="dxa"/>
            <w:vMerge w:val="continue"/>
            <w:tcBorders/>
            <w:shd w:fill="auto" w:val="clear"/>
          </w:tcPr>
          <w:p>
            <w:pPr>
              <w:pStyle w:val="ListParagraph"/>
              <w:numPr>
                <w:ilvl w:val="2"/>
                <w:numId w:val="1"/>
              </w:numPr>
              <w:spacing w:lineRule="auto" w:line="240" w:before="0" w:after="0"/>
              <w:contextualSpacing/>
              <w:jc w:val="both"/>
              <w:rPr>
                <w:rFonts w:ascii="Arial" w:hAnsi="Arial" w:cs="Arial"/>
                <w:sz w:val="20"/>
                <w:szCs w:val="20"/>
              </w:rPr>
            </w:pPr>
            <w:r>
              <w:rPr>
                <w:rFonts w:cs="Arial" w:ascii="Arial" w:hAnsi="Arial"/>
                <w:sz w:val="20"/>
                <w:szCs w:val="20"/>
              </w:rPr>
            </w:r>
          </w:p>
        </w:tc>
        <w:tc>
          <w:tcPr>
            <w:tcW w:w="1801" w:type="dxa"/>
            <w:vMerge w:val="continue"/>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799" w:type="dxa"/>
            <w:tcBorders/>
            <w:shd w:fill="auto" w:val="clear"/>
          </w:tcPr>
          <w:p>
            <w:pPr>
              <w:pStyle w:val="Normal"/>
              <w:spacing w:lineRule="auto" w:line="240" w:before="0" w:after="0"/>
              <w:jc w:val="both"/>
              <w:rPr/>
            </w:pPr>
            <w:r>
              <w:rPr/>
            </w:r>
            <w:bookmarkStart w:id="1" w:name="_GoBack"/>
            <w:bookmarkStart w:id="2" w:name="_GoBack"/>
            <w:bookmarkEnd w:id="2"/>
          </w:p>
        </w:tc>
      </w:tr>
    </w:tbl>
    <w:p>
      <w:pPr>
        <w:pStyle w:val="Normal"/>
        <w:spacing w:lineRule="auto" w:line="240"/>
        <w:jc w:val="both"/>
        <w:rPr>
          <w:rFonts w:ascii="Arial" w:hAnsi="Arial" w:cs="Arial"/>
          <w:b/>
          <w:b/>
          <w:sz w:val="20"/>
          <w:szCs w:val="20"/>
        </w:rPr>
      </w:pPr>
      <w:r>
        <w:rPr>
          <w:rFonts w:cs="Arial" w:ascii="Arial" w:hAnsi="Arial"/>
          <w:b/>
          <w:sz w:val="20"/>
          <w:szCs w:val="20"/>
        </w:rPr>
      </w:r>
    </w:p>
    <w:p>
      <w:pPr>
        <w:pStyle w:val="Normal"/>
        <w:spacing w:lineRule="auto" w:line="240" w:before="0" w:after="160"/>
        <w:jc w:val="both"/>
        <w:rPr/>
      </w:pPr>
      <w:r>
        <w:rPr/>
      </w:r>
    </w:p>
    <w:sectPr>
      <w:headerReference w:type="default" r:id="rId4"/>
      <w:footerReference w:type="default" r:id="rId5"/>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auto"/>
    <w:pitch w:val="default"/>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12776624"/>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2</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3" wp14:anchorId="1699B376">
              <wp:simplePos x="0" y="0"/>
              <wp:positionH relativeFrom="margin">
                <wp:align>center</wp:align>
              </wp:positionH>
              <wp:positionV relativeFrom="paragraph">
                <wp:posOffset>-353060</wp:posOffset>
              </wp:positionV>
              <wp:extent cx="6529705" cy="706120"/>
              <wp:effectExtent l="0" t="0" r="5715" b="0"/>
              <wp:wrapNone/>
              <wp:docPr id="1" name="Group 5"/>
              <a:graphic xmlns:a="http://schemas.openxmlformats.org/drawingml/2006/main">
                <a:graphicData uri="http://schemas.microsoft.com/office/word/2010/wordprocessingGroup">
                  <wpg:wgp>
                    <wpg:cNvGrpSpPr/>
                    <wpg:grpSpPr>
                      <a:xfrm>
                        <a:off x="0" y="0"/>
                        <a:ext cx="6528960" cy="705600"/>
                      </a:xfrm>
                    </wpg:grpSpPr>
                    <wps:wsp>
                      <wps:cNvSpPr/>
                      <wps:spPr>
                        <a:xfrm>
                          <a:off x="0" y="0"/>
                          <a:ext cx="3769920" cy="70560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heme="minorHAnsi" w:cstheme="minorBidi" w:eastAsiaTheme="minorHAnsi" w:hAnsiTheme="minorHAnsi" w:ascii="Times New Roman" w:hAnsi="Times New Roman"/>
                                <w:color w:val="000000"/>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heme="minorHAnsi" w:cstheme="minorBidi" w:eastAsiaTheme="minorHAnsi" w:hAnsiTheme="minorHAnsi" w:ascii="Times New Roman" w:hAnsi="Times New Roman"/>
                                <w:color w:val="000000"/>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heme="minorHAnsi" w:cstheme="minorBidi" w:eastAsiaTheme="minorHAnsi" w:hAnsiTheme="minorHAnsi" w:ascii="Times New Roman" w:hAnsi="Times New Roman"/>
                                <w:color w:val="000000"/>
                              </w:rPr>
                              <w:t>An independent member firm of BKR International</w:t>
                            </w:r>
                          </w:p>
                          <w:p>
                            <w:pPr>
                              <w:overflowPunct w:val="false"/>
                              <w:spacing w:before="0" w:after="0" w:lineRule="auto" w:line="240"/>
                              <w:jc w:val="left"/>
                              <w:rPr/>
                            </w:pPr>
                            <w:r>
                              <w:rPr>
                                <w:rFonts w:asciiTheme="minorHAnsi" w:cstheme="minorBidi" w:eastAsiaTheme="minorHAnsi" w:hAnsiTheme="minorHAnsi"/>
                              </w:rPr>
                            </w:r>
                          </w:p>
                        </w:txbxContent>
                      </wps:txbx>
                      <wps:bodyPr lIns="90000" rIns="90000" tIns="45000" bIns="45000" anchor="ctr">
                        <a:noAutofit/>
                      </wps:bodyPr>
                    </wps:wsp>
                    <pic:pic xmlns:pic="http://schemas.openxmlformats.org/drawingml/2006/picture">
                      <pic:nvPicPr>
                        <pic:cNvPr id="0" name="Picture 3" descr=""/>
                        <pic:cNvPicPr/>
                      </pic:nvPicPr>
                      <pic:blipFill>
                        <a:blip r:embed="rId1"/>
                        <a:srcRect l="5759" t="28463" r="5649" b="28450"/>
                        <a:stretch/>
                      </pic:blipFill>
                      <pic:spPr>
                        <a:xfrm>
                          <a:off x="5478840" y="71640"/>
                          <a:ext cx="1050120" cy="519480"/>
                        </a:xfrm>
                        <a:prstGeom prst="rect">
                          <a:avLst/>
                        </a:prstGeom>
                        <a:ln>
                          <a:noFill/>
                        </a:ln>
                      </pic:spPr>
                    </pic:pic>
                  </wpg:wgp>
                </a:graphicData>
              </a:graphic>
            </wp:anchor>
          </w:drawing>
        </mc:Choice>
        <mc:Fallback>
          <w:pict>
            <v:group id="shape_0" alt="Group 5" style="position:absolute;margin-left:-23.05pt;margin-top:-27.8pt;width:514.1pt;height:55.55pt" coordorigin="-461,-556" coordsize="10282,1111">
              <v:rect id="shape_0" fillcolor="white" stroked="f" style="position:absolute;left:-461;top:-556;width:5936;height:1110;mso-position-horizontal:center;mso-position-horizontal-relative:margin">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heme="minorHAnsi" w:cstheme="minorBidi" w:eastAsiaTheme="minorHAnsi" w:hAnsiTheme="minorHAnsi" w:ascii="Times New Roman" w:hAnsi="Times New Roman"/>
                          <w:color w:val="000000"/>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heme="minorHAnsi" w:cstheme="minorBidi" w:eastAsiaTheme="minorHAnsi" w:hAnsiTheme="minorHAnsi" w:ascii="Times New Roman" w:hAnsi="Times New Roman"/>
                          <w:color w:val="000000"/>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heme="minorHAnsi" w:cstheme="minorBidi" w:eastAsiaTheme="minorHAnsi" w:hAnsiTheme="minorHAnsi" w:ascii="Times New Roman" w:hAnsi="Times New Roman"/>
                          <w:color w:val="000000"/>
                        </w:rPr>
                        <w:t>An independent member firm of BKR International</w:t>
                      </w:r>
                    </w:p>
                    <w:p>
                      <w:pPr>
                        <w:overflowPunct w:val="false"/>
                        <w:spacing w:before="0" w:after="0" w:lineRule="auto" w:line="240"/>
                        <w:jc w:val="left"/>
                        <w:rPr/>
                      </w:pPr>
                      <w:r>
                        <w:rPr>
                          <w:rFonts w:asciiTheme="minorHAnsi" w:cstheme="minorBidi" w:eastAsiaTheme="minorHAnsi" w:hAnsiTheme="minorHAnsi"/>
                        </w:rPr>
                      </w:r>
                    </w:p>
                  </w:txbxContent>
                </v:textbox>
                <w10:wrap type="square"/>
                <v:fill o:detectmouseclick="t" type="solid" color2="black"/>
                <v:stroke color="#3465a4" weight="9360" joinstyle="round"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8167;top:-443;width:1653;height:817;mso-position-horizontal:center;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2">
    <w:lvl w:ilvl="0">
      <w:start w:val="1"/>
      <w:numFmt w:val="bullet"/>
      <w:lvlText w:val=""/>
      <w:lvlJc w:val="left"/>
      <w:pPr>
        <w:ind w:left="360" w:hanging="360"/>
      </w:pPr>
      <w:rPr>
        <w:rFonts w:ascii="Symbol" w:hAnsi="Symbol" w:cs="Symbol" w:hint="default"/>
        <w:rFonts w:cs="Symbol"/>
      </w:rPr>
    </w:lvl>
    <w:lvl w:ilvl="1">
      <w:start w:val="1"/>
      <w:numFmt w:val="bullet"/>
      <w:lvlText w:val=""/>
      <w:lvlJc w:val="left"/>
      <w:pPr>
        <w:ind w:left="1080" w:hanging="360"/>
      </w:pPr>
      <w:rPr>
        <w:rFonts w:ascii="Wingdings" w:hAnsi="Wingdings" w:cs="Wingdings" w:hint="default"/>
        <w:rFonts w:cs="Wingdings"/>
      </w:rPr>
    </w:lvl>
    <w:lvl w:ilvl="2">
      <w:start w:val="1"/>
      <w:numFmt w:val="bullet"/>
      <w:lvlText w:val=""/>
      <w:lvlJc w:val="left"/>
      <w:pPr>
        <w:ind w:left="1800" w:hanging="360"/>
      </w:pPr>
      <w:rPr>
        <w:rFonts w:ascii="Wingdings" w:hAnsi="Wingdings" w:cs="Wingdings" w:hint="default"/>
        <w:rFonts w:cs="Wingdings"/>
      </w:rPr>
    </w:lvl>
    <w:lvl w:ilvl="3">
      <w:start w:val="1"/>
      <w:numFmt w:val="lowerLetter"/>
      <w:lvlText w:val="%4."/>
      <w:lvlJc w:val="left"/>
      <w:pPr>
        <w:ind w:left="1440" w:hanging="360"/>
      </w:p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956bb"/>
    <w:pPr>
      <w:widowControl/>
      <w:bidi w:val="0"/>
      <w:spacing w:lineRule="auto" w:line="252"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3956bb"/>
    <w:rPr>
      <w:color w:val="0563C1" w:themeColor="hyperlink"/>
      <w:u w:val="single"/>
    </w:rPr>
  </w:style>
  <w:style w:type="character" w:styleId="FollowedHyperlink">
    <w:name w:val="FollowedHyperlink"/>
    <w:basedOn w:val="DefaultParagraphFont"/>
    <w:uiPriority w:val="99"/>
    <w:semiHidden/>
    <w:unhideWhenUsed/>
    <w:qFormat/>
    <w:rsid w:val="004b53a4"/>
    <w:rPr>
      <w:color w:val="954F72" w:themeColor="followedHyperlink"/>
      <w:u w:val="single"/>
    </w:rPr>
  </w:style>
  <w:style w:type="character" w:styleId="HeaderChar" w:customStyle="1">
    <w:name w:val="Header Char"/>
    <w:basedOn w:val="DefaultParagraphFont"/>
    <w:link w:val="Header"/>
    <w:uiPriority w:val="99"/>
    <w:qFormat/>
    <w:rsid w:val="00e60957"/>
    <w:rPr/>
  </w:style>
  <w:style w:type="character" w:styleId="FooterChar" w:customStyle="1">
    <w:name w:val="Footer Char"/>
    <w:basedOn w:val="DefaultParagraphFont"/>
    <w:link w:val="Footer"/>
    <w:uiPriority w:val="99"/>
    <w:qFormat/>
    <w:rsid w:val="00e60957"/>
    <w:rPr/>
  </w:style>
  <w:style w:type="character" w:styleId="ListLabel1">
    <w:name w:val="ListLabel 1"/>
    <w:qFormat/>
    <w:rPr>
      <w:rFonts w:eastAsia=""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 w:cs=""/>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 w:cs=""/>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eastAsia="" w:cs=""/>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ascii="Arial" w:hAnsi="Arial" w:cs="Arial"/>
      <w:b/>
      <w:sz w:val="20"/>
      <w:szCs w:val="20"/>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Wingdings"/>
    </w:rPr>
  </w:style>
  <w:style w:type="character" w:styleId="ListLabel52">
    <w:name w:val="ListLabel 52"/>
    <w:qFormat/>
    <w:rPr>
      <w:rFonts w:cs="Wingdings"/>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ascii="Arial" w:hAnsi="Arial" w:cs="Arial"/>
      <w:b/>
      <w:sz w:val="20"/>
      <w:szCs w:val="20"/>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3956bb"/>
    <w:pPr>
      <w:spacing w:before="0" w:after="160"/>
      <w:ind w:left="720" w:hanging="0"/>
      <w:contextualSpacing/>
    </w:pPr>
    <w:rPr/>
  </w:style>
  <w:style w:type="paragraph" w:styleId="Default" w:customStyle="1">
    <w:name w:val="Default"/>
    <w:qFormat/>
    <w:rsid w:val="00564bce"/>
    <w:pPr>
      <w:widowControl/>
      <w:bidi w:val="0"/>
      <w:spacing w:lineRule="auto" w:line="240" w:before="0" w:after="0"/>
      <w:jc w:val="left"/>
    </w:pPr>
    <w:rPr>
      <w:rFonts w:ascii="Arial" w:hAnsi="Arial" w:eastAsia="Calibri" w:cs="Arial"/>
      <w:color w:val="000000"/>
      <w:kern w:val="0"/>
      <w:sz w:val="24"/>
      <w:szCs w:val="24"/>
      <w:lang w:val="en-US" w:eastAsia="en-US" w:bidi="ar-SA"/>
    </w:rPr>
  </w:style>
  <w:style w:type="paragraph" w:styleId="Header">
    <w:name w:val="Header"/>
    <w:basedOn w:val="Normal"/>
    <w:link w:val="HeaderChar"/>
    <w:uiPriority w:val="99"/>
    <w:unhideWhenUsed/>
    <w:rsid w:val="00e60957"/>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0957"/>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2a2ec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G:/My%20Drive/MZCO/Audit%20Manual/1.%20Planning/4%20Planning%20Process/Planning%20Memorandum.docx" TargetMode="External"/><Relationship Id="rId3" Type="http://schemas.openxmlformats.org/officeDocument/2006/relationships/hyperlink" Target="../../../../../G:/My%20Drive/MZCO/Audit%20Manual/1.%20Planning/17-20%20Other%20Specific%20Considerations/Other%20Specific%20Considerations.docx"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528DA7-4667-4FC9-ADCD-8F1632104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925</TotalTime>
  <Application>LibreOffice/6.1.5.2$Linux_X86_64 LibreOffice_project/10$Build-2</Application>
  <Pages>2</Pages>
  <Words>573</Words>
  <Characters>3136</Characters>
  <CharactersWithSpaces>3650</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2022-06-26T09:17:00Z</dcterms:created>
  <dc:creator>Maham Moin</dc:creator>
  <dc:description/>
  <dc:language>en-US</dc:language>
  <cp:lastModifiedBy/>
  <dcterms:modified xsi:type="dcterms:W3CDTF">2022-09-21T15:55:12Z</dcterms:modified>
  <cp:revision>59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