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left="0" w:right="0"/>
        <w:jc w:val="left"/>
        <w:rPr>
          <w:b/>
        </w:rPr>
      </w:pPr>
      <w:r>
        <w:rPr>
          <w:b/>
        </w:rPr>
        <w:t>Blocking vs. Reactive SSE Comparison Guide</w:t>
      </w:r>
    </w:p>
    <w:p>
      <w:pPr>
        <w:sectPr>
          <w:type w:val="nextPage"/>
          <w:pgSz w:w="11906" w:h="16838"/>
          <w:pgMar w:left="1134" w:right="1134" w:gutter="0" w:header="0" w:top="1134" w:footer="0" w:bottom="1134"/>
          <w:pgNumType w:fmt="decimal"/>
          <w:formProt w:val="false"/>
          <w:textDirection w:val="lrTb"/>
        </w:sectPr>
      </w:pPr>
    </w:p>
    <w:tbl>
      <w:tblPr>
        <w:tblW w:w="9638" w:type="dxa"/>
        <w:jc w:val="left"/>
        <w:tblInd w:w="0" w:type="dxa"/>
        <w:tblLayout w:type="fixed"/>
        <w:tblCellMar>
          <w:top w:w="28" w:type="dxa"/>
          <w:left w:w="28" w:type="dxa"/>
          <w:bottom w:w="28" w:type="dxa"/>
          <w:right w:w="28" w:type="dxa"/>
        </w:tblCellMar>
      </w:tblPr>
      <w:tblGrid>
        <w:gridCol w:w="1979"/>
        <w:gridCol w:w="3767"/>
        <w:gridCol w:w="3892"/>
      </w:tblGrid>
      <w:tr>
        <w:trPr>
          <w:tblHeader w:val="true"/>
        </w:trPr>
        <w:tc>
          <w:tcPr>
            <w:tcW w:w="1979" w:type="dxa"/>
            <w:tcBorders/>
            <w:vAlign w:val="center"/>
          </w:tcPr>
          <w:p>
            <w:pPr>
              <w:pStyle w:val="TableHeading"/>
              <w:suppressLineNumbers/>
              <w:bidi w:val="0"/>
              <w:jc w:val="center"/>
              <w:rPr/>
            </w:pPr>
            <w:r>
              <w:rPr/>
              <w:t>Metric</w:t>
            </w:r>
          </w:p>
        </w:tc>
        <w:tc>
          <w:tcPr>
            <w:tcW w:w="3767" w:type="dxa"/>
            <w:tcBorders/>
            <w:vAlign w:val="center"/>
          </w:tcPr>
          <w:p>
            <w:pPr>
              <w:pStyle w:val="TableHeading"/>
              <w:suppressLineNumbers/>
              <w:bidi w:val="0"/>
              <w:jc w:val="center"/>
              <w:rPr/>
            </w:pPr>
            <w:r>
              <w:rPr/>
              <w:t>Blocking SSE (Spring MVC)</w:t>
            </w:r>
          </w:p>
        </w:tc>
        <w:tc>
          <w:tcPr>
            <w:tcW w:w="3892" w:type="dxa"/>
            <w:tcBorders/>
            <w:vAlign w:val="center"/>
          </w:tcPr>
          <w:p>
            <w:pPr>
              <w:pStyle w:val="TableHeading"/>
              <w:suppressLineNumbers/>
              <w:bidi w:val="0"/>
              <w:jc w:val="center"/>
              <w:rPr/>
            </w:pPr>
            <w:r>
              <w:rPr/>
              <w:t>Reactive SSE (Spring WebFlux)</w:t>
            </w:r>
          </w:p>
        </w:tc>
      </w:tr>
      <w:tr>
        <w:trPr/>
        <w:tc>
          <w:tcPr>
            <w:tcW w:w="1979" w:type="dxa"/>
            <w:tcBorders/>
            <w:vAlign w:val="center"/>
          </w:tcPr>
          <w:p>
            <w:pPr>
              <w:pStyle w:val="TableContents"/>
              <w:bidi w:val="0"/>
              <w:jc w:val="left"/>
              <w:rPr>
                <w:b/>
              </w:rPr>
            </w:pPr>
            <w:r>
              <w:rPr>
                <w:b/>
              </w:rPr>
              <w:t>Underlying Server</w:t>
            </w:r>
          </w:p>
        </w:tc>
        <w:tc>
          <w:tcPr>
            <w:tcW w:w="3767" w:type="dxa"/>
            <w:tcBorders/>
            <w:vAlign w:val="center"/>
          </w:tcPr>
          <w:p>
            <w:pPr>
              <w:pStyle w:val="TableContents"/>
              <w:widowControl w:val="false"/>
              <w:suppressLineNumbers/>
              <w:bidi w:val="0"/>
              <w:jc w:val="left"/>
              <w:rPr/>
            </w:pPr>
            <w:r>
              <w:rPr/>
              <w:t>Tomcat / Jetty (Servlet container)</w:t>
            </w:r>
          </w:p>
        </w:tc>
        <w:tc>
          <w:tcPr>
            <w:tcW w:w="3892" w:type="dxa"/>
            <w:tcBorders/>
            <w:vAlign w:val="center"/>
          </w:tcPr>
          <w:p>
            <w:pPr>
              <w:pStyle w:val="TableContents"/>
              <w:widowControl w:val="false"/>
              <w:suppressLineNumbers/>
              <w:bidi w:val="0"/>
              <w:jc w:val="left"/>
              <w:rPr/>
            </w:pPr>
            <w:r>
              <w:rPr/>
              <w:t>Netty (Event-loop, asynchronous runtime)</w:t>
            </w:r>
          </w:p>
        </w:tc>
      </w:tr>
      <w:tr>
        <w:trPr/>
        <w:tc>
          <w:tcPr>
            <w:tcW w:w="1979" w:type="dxa"/>
            <w:tcBorders/>
            <w:vAlign w:val="center"/>
          </w:tcPr>
          <w:p>
            <w:pPr>
              <w:pStyle w:val="TableContents"/>
              <w:bidi w:val="0"/>
              <w:jc w:val="left"/>
              <w:rPr>
                <w:b/>
              </w:rPr>
            </w:pPr>
            <w:r>
              <w:rPr>
                <w:b/>
              </w:rPr>
              <w:t>Thread Allocation</w:t>
            </w:r>
          </w:p>
        </w:tc>
        <w:tc>
          <w:tcPr>
            <w:tcW w:w="3767" w:type="dxa"/>
            <w:tcBorders/>
            <w:vAlign w:val="center"/>
          </w:tcPr>
          <w:p>
            <w:pPr>
              <w:pStyle w:val="TableContents"/>
              <w:widowControl w:val="false"/>
              <w:suppressLineNumbers/>
              <w:bidi w:val="0"/>
              <w:jc w:val="left"/>
              <w:rPr/>
            </w:pPr>
            <w:r>
              <w:rPr/>
              <w:t>Dedicated thread per active client connection</w:t>
            </w:r>
          </w:p>
        </w:tc>
        <w:tc>
          <w:tcPr>
            <w:tcW w:w="3892" w:type="dxa"/>
            <w:tcBorders/>
            <w:vAlign w:val="center"/>
          </w:tcPr>
          <w:p>
            <w:pPr>
              <w:pStyle w:val="TableContents"/>
              <w:widowControl w:val="false"/>
              <w:suppressLineNumbers/>
              <w:bidi w:val="0"/>
              <w:jc w:val="left"/>
              <w:rPr/>
            </w:pPr>
            <w:r>
              <w:rPr/>
              <w:t>Small, fixed pool of event-loop threads</w:t>
            </w:r>
          </w:p>
        </w:tc>
      </w:tr>
      <w:tr>
        <w:trPr/>
        <w:tc>
          <w:tcPr>
            <w:tcW w:w="1979" w:type="dxa"/>
            <w:tcBorders/>
            <w:vAlign w:val="center"/>
          </w:tcPr>
          <w:p>
            <w:pPr>
              <w:pStyle w:val="TableContents"/>
              <w:bidi w:val="0"/>
              <w:jc w:val="left"/>
              <w:rPr>
                <w:b/>
              </w:rPr>
            </w:pPr>
            <w:r>
              <w:rPr>
                <w:b/>
              </w:rPr>
              <w:t>Backpressure Support</w:t>
            </w:r>
          </w:p>
        </w:tc>
        <w:tc>
          <w:tcPr>
            <w:tcW w:w="3767" w:type="dxa"/>
            <w:tcBorders/>
            <w:vAlign w:val="center"/>
          </w:tcPr>
          <w:p>
            <w:pPr>
              <w:pStyle w:val="TableContents"/>
              <w:widowControl w:val="false"/>
              <w:suppressLineNumbers/>
              <w:bidi w:val="0"/>
              <w:jc w:val="left"/>
              <w:rPr/>
            </w:pPr>
            <w:r>
              <w:rPr/>
              <w:t>None (Relies on client consumption speed or manual buffers)</w:t>
            </w:r>
          </w:p>
        </w:tc>
        <w:tc>
          <w:tcPr>
            <w:tcW w:w="3892" w:type="dxa"/>
            <w:tcBorders/>
            <w:vAlign w:val="center"/>
          </w:tcPr>
          <w:p>
            <w:pPr>
              <w:pStyle w:val="TableContents"/>
              <w:widowControl w:val="false"/>
              <w:suppressLineNumbers/>
              <w:bidi w:val="0"/>
              <w:jc w:val="left"/>
              <w:rPr/>
            </w:pPr>
            <w:r>
              <w:rPr/>
              <w:t>Native backpressure built-in via Project Reactor (</w:t>
            </w:r>
            <w:r>
              <w:rPr>
                <w:rStyle w:val="SourceText"/>
              </w:rPr>
              <w:t>Flux</w:t>
            </w:r>
            <w:r>
              <w:rPr/>
              <w:t>)</w:t>
            </w:r>
          </w:p>
        </w:tc>
      </w:tr>
      <w:tr>
        <w:trPr/>
        <w:tc>
          <w:tcPr>
            <w:tcW w:w="1979" w:type="dxa"/>
            <w:tcBorders/>
            <w:vAlign w:val="center"/>
          </w:tcPr>
          <w:p>
            <w:pPr>
              <w:pStyle w:val="TableContents"/>
              <w:bidi w:val="0"/>
              <w:jc w:val="left"/>
              <w:rPr>
                <w:b/>
              </w:rPr>
            </w:pPr>
            <w:r>
              <w:rPr>
                <w:b/>
              </w:rPr>
              <w:t>Memory Footprint</w:t>
            </w:r>
          </w:p>
        </w:tc>
        <w:tc>
          <w:tcPr>
            <w:tcW w:w="3767" w:type="dxa"/>
            <w:tcBorders/>
            <w:vAlign w:val="center"/>
          </w:tcPr>
          <w:p>
            <w:pPr>
              <w:pStyle w:val="TableContents"/>
              <w:widowControl w:val="false"/>
              <w:suppressLineNumbers/>
              <w:bidi w:val="0"/>
              <w:jc w:val="left"/>
              <w:rPr/>
            </w:pPr>
            <w:r>
              <w:rPr/>
              <w:t>Higher, scales linearly with concurrent connections</w:t>
            </w:r>
          </w:p>
        </w:tc>
        <w:tc>
          <w:tcPr>
            <w:tcW w:w="3892" w:type="dxa"/>
            <w:tcBorders/>
            <w:vAlign w:val="center"/>
          </w:tcPr>
          <w:p>
            <w:pPr>
              <w:pStyle w:val="TableContents"/>
              <w:widowControl w:val="false"/>
              <w:suppressLineNumbers/>
              <w:bidi w:val="0"/>
              <w:jc w:val="left"/>
              <w:rPr/>
            </w:pPr>
            <w:r>
              <w:rPr/>
              <w:t>Extremely low, handles high concurrency efficiently</w:t>
            </w:r>
          </w:p>
        </w:tc>
      </w:tr>
      <w:tr>
        <w:trPr/>
        <w:tc>
          <w:tcPr>
            <w:tcW w:w="1979" w:type="dxa"/>
            <w:tcBorders/>
            <w:vAlign w:val="center"/>
          </w:tcPr>
          <w:p>
            <w:pPr>
              <w:pStyle w:val="TableContents"/>
              <w:bidi w:val="0"/>
              <w:jc w:val="left"/>
              <w:rPr>
                <w:b/>
              </w:rPr>
            </w:pPr>
            <w:r>
              <w:rPr>
                <w:b/>
              </w:rPr>
              <w:t>Primary Use Case</w:t>
            </w:r>
          </w:p>
        </w:tc>
        <w:tc>
          <w:tcPr>
            <w:tcW w:w="3767" w:type="dxa"/>
            <w:tcBorders/>
            <w:vAlign w:val="center"/>
          </w:tcPr>
          <w:p>
            <w:pPr>
              <w:pStyle w:val="TableContents"/>
              <w:widowControl w:val="false"/>
              <w:suppressLineNumbers/>
              <w:bidi w:val="0"/>
              <w:jc w:val="left"/>
              <w:rPr/>
            </w:pPr>
            <w:r>
              <w:rPr/>
              <w:t>Legacy systems, moderate loads, straightforward MVC apps</w:t>
            </w:r>
          </w:p>
        </w:tc>
        <w:tc>
          <w:tcPr>
            <w:tcW w:w="3892" w:type="dxa"/>
            <w:tcBorders/>
            <w:vAlign w:val="center"/>
          </w:tcPr>
          <w:p>
            <w:pPr>
              <w:pStyle w:val="TableContents"/>
              <w:widowControl w:val="false"/>
              <w:suppressLineNumbers/>
              <w:bidi w:val="0"/>
              <w:jc w:val="left"/>
              <w:rPr/>
            </w:pPr>
            <w:r>
              <w:rPr/>
              <w:t>Real-time dashboards, chat apps, high-throughput data streams</w:t>
            </w:r>
          </w:p>
        </w:tc>
      </w:tr>
    </w:tbl>
    <w:p>
      <w:pPr>
        <w:pStyle w:val="BodyText"/>
        <w:bidi w:val="0"/>
        <w:jc w:val="left"/>
        <w:rPr>
          <w:b/>
        </w:rPr>
      </w:pPr>
      <w:r>
        <w:rPr>
          <w:b/>
        </w:rPr>
        <w:t>Architectural Differences</w:t>
      </w:r>
    </w:p>
    <w:p>
      <w:pPr>
        <w:pStyle w:val="BodyText"/>
        <w:numPr>
          <w:ilvl w:val="0"/>
          <w:numId w:val="1"/>
        </w:numPr>
        <w:tabs>
          <w:tab w:val="clear" w:pos="709"/>
          <w:tab w:val="left" w:pos="709" w:leader="none"/>
        </w:tabs>
        <w:bidi w:val="0"/>
        <w:ind w:hanging="283" w:left="709"/>
        <w:jc w:val="left"/>
        <w:rPr/>
      </w:pPr>
      <w:r>
        <w:rPr>
          <w:b/>
        </w:rPr>
        <w:t>Spring MVC (</w:t>
      </w:r>
      <w:r>
        <w:rPr>
          <w:rStyle w:val="SourceText"/>
          <w:b/>
        </w:rPr>
        <w:t>SseEmitter</w:t>
      </w:r>
      <w:r>
        <w:rPr>
          <w:b/>
        </w:rPr>
        <w:t>):</w:t>
      </w:r>
      <w:r>
        <w:rPr/>
        <w:t xml:space="preserve"> Operates on a thread-per-request model. When a client connects to </w:t>
      </w:r>
      <w:r>
        <w:rPr>
          <w:rStyle w:val="SourceText"/>
        </w:rPr>
        <w:t>/api/blocking/stream</w:t>
      </w:r>
      <w:r>
        <w:rPr/>
        <w:t>, a worker thread remains blocked or dedicated to writing events down the socket for the duration of the stream. Under heavy concurrent loads, thread pools exhaust quickly, requiring tuning or asynchronous request processing handlers.</w:t>
      </w:r>
    </w:p>
    <w:p>
      <w:pPr>
        <w:pStyle w:val="BodyText"/>
        <w:numPr>
          <w:ilvl w:val="0"/>
          <w:numId w:val="1"/>
        </w:numPr>
        <w:tabs>
          <w:tab w:val="clear" w:pos="709"/>
          <w:tab w:val="left" w:pos="709" w:leader="none"/>
        </w:tabs>
        <w:bidi w:val="0"/>
        <w:ind w:hanging="283" w:left="709"/>
        <w:jc w:val="left"/>
        <w:rPr/>
      </w:pPr>
      <w:r>
        <w:rPr>
          <w:b/>
        </w:rPr>
        <w:t>Spring WebFlux (</w:t>
      </w:r>
      <w:r>
        <w:rPr>
          <w:rStyle w:val="SourceText"/>
          <w:b/>
        </w:rPr>
        <w:t>Flux</w:t>
      </w:r>
      <w:r>
        <w:rPr>
          <w:b/>
        </w:rPr>
        <w:t>):</w:t>
      </w:r>
      <w:r>
        <w:rPr/>
        <w:t xml:space="preserve"> Operates on a non-blocking, reactive paradigm powered by Netty. Event loops manage asynchronous data emissions without locking threads. The execution pipeline handles data lazily, only streaming items when subscribers demand them.</w:t>
      </w:r>
    </w:p>
    <w:p>
      <w:pPr>
        <w:pStyle w:val="BodyText"/>
        <w:bidi w:val="0"/>
        <w:jc w:val="left"/>
        <w:rPr>
          <w:b/>
        </w:rPr>
      </w:pPr>
      <w:r>
        <w:rPr>
          <w:b/>
        </w:rPr>
        <w:t>Scalability and Performance Considerations</w:t>
      </w:r>
    </w:p>
    <w:p>
      <w:pPr>
        <w:pStyle w:val="BodyText"/>
        <w:numPr>
          <w:ilvl w:val="0"/>
          <w:numId w:val="2"/>
        </w:numPr>
        <w:tabs>
          <w:tab w:val="clear" w:pos="709"/>
          <w:tab w:val="left" w:pos="709" w:leader="none"/>
        </w:tabs>
        <w:bidi w:val="0"/>
        <w:ind w:hanging="283" w:left="709"/>
        <w:jc w:val="left"/>
        <w:rPr/>
      </w:pPr>
      <w:r>
        <w:rPr>
          <w:b/>
        </w:rPr>
        <w:t>Concurrency Handling:</w:t>
      </w:r>
      <w:r>
        <w:rPr/>
        <w:t xml:space="preserve"> Reactive streams excel when thousands of clients maintain persistent HTTP connections simultaneously. Since threads are not blocked waiting for sleep timers or I/O writes, CPU and memory utilization remain minimal.</w:t>
      </w:r>
    </w:p>
    <w:p>
      <w:pPr>
        <w:pStyle w:val="BodyText"/>
        <w:numPr>
          <w:ilvl w:val="0"/>
          <w:numId w:val="2"/>
        </w:numPr>
        <w:tabs>
          <w:tab w:val="clear" w:pos="709"/>
          <w:tab w:val="left" w:pos="709" w:leader="none"/>
        </w:tabs>
        <w:bidi w:val="0"/>
        <w:ind w:hanging="283" w:left="709"/>
        <w:jc w:val="left"/>
        <w:rPr/>
      </w:pPr>
      <w:r>
        <w:rPr>
          <w:b/>
        </w:rPr>
        <w:t>Development Complexity:</w:t>
      </w:r>
      <w:r>
        <w:rPr/>
        <w:t xml:space="preserve"> Blocking MVC code is straightforward to write and debug using imperative logic. Reactive WebFlux introduces a learning curve due to asynchronous operators, non-blocking constraints, and reactive type conversions (</w:t>
      </w:r>
      <w:r>
        <w:rPr>
          <w:rStyle w:val="SourceText"/>
        </w:rPr>
        <w:t>Mono</w:t>
      </w:r>
      <w:r>
        <w:rPr/>
        <w:t>/</w:t>
      </w:r>
      <w:r>
        <w:rPr>
          <w:rStyle w:val="SourceText"/>
        </w:rPr>
        <w:t>Flux</w:t>
      </w:r>
      <w:r>
        <w:rPr/>
        <w:t>).</w:t>
      </w:r>
    </w:p>
    <w:p>
      <w:pPr>
        <w:sectPr>
          <w:type w:val="continuous"/>
          <w:pgSz w:w="11906" w:h="16838"/>
          <w:pgMar w:left="1134" w:right="1134" w:gutter="0" w:header="0" w:top="1134" w:footer="0" w:bottom="1134"/>
          <w:formProt w:val="false"/>
          <w:textDirection w:val="lrTb"/>
        </w:sectPr>
      </w:pPr>
    </w:p>
    <w:p>
      <w:pPr>
        <w:pStyle w:val="Normal"/>
        <w:bidi w:val="0"/>
        <w:jc w:val="lef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244</Words>
  <Characters>1617</Characters>
  <CharactersWithSpaces>1832</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2026-09-08T16:39:07Z</dcterms:created>
  <dc:creator/>
  <dc:description/>
  <dc:language>en-US</dc:language>
  <cp:lastModifiedBy/>
  <dcterms:modified xsi:type="dcterms:W3CDTF">2026-09-08T16:40:00Z</dcterms:modified>
  <cp:revision>1</cp:revision>
  <dc:subject/>
  <dc:title/>
</cp:coreProperties>
</file>