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Comprehensive Comparison: RestTemplate vs. WebClient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This document provides a detailed architectural and practical comparison between Spring's legacy HTTP client, </w:t>
      </w:r>
      <w:r>
        <w:rPr>
          <w:rFonts w:ascii="Google Sans Text;sans-serif" w:hAnsi="Google Sans Text;sans-serif"/>
          <w:b/>
        </w:rPr>
        <w:t>RestTemplate</w:t>
      </w:r>
      <w:r>
        <w:rPr>
          <w:rFonts w:ascii="Google Sans Text;sans-serif" w:hAnsi="Google Sans Text;sans-serif"/>
        </w:rPr>
        <w:t xml:space="preserve">, and its modern, reactive successor, </w:t>
      </w:r>
      <w:r>
        <w:rPr>
          <w:rFonts w:ascii="Google Sans Text;sans-serif" w:hAnsi="Google Sans Text;sans-serif"/>
          <w:b/>
        </w:rPr>
        <w:t>WebClient</w:t>
      </w:r>
      <w:r>
        <w:rPr>
          <w:rFonts w:ascii="Google Sans Text;sans-serif" w:hAnsi="Google Sans Text;sans-serif"/>
        </w:rPr>
        <w:t>.</w:t>
      </w:r>
    </w:p>
    <w:p>
      <w:pPr>
        <w:pStyle w:val="Heading2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1. Detailed Feature Comparison</w:t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100"/>
        <w:gridCol w:w="3649"/>
        <w:gridCol w:w="3889"/>
      </w:tblGrid>
      <w:tr>
        <w:trPr>
          <w:tblHeader w:val="true"/>
        </w:trPr>
        <w:tc>
          <w:tcPr>
            <w:tcW w:w="21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Feature / Criteria</w:t>
            </w:r>
          </w:p>
        </w:tc>
        <w:tc>
          <w:tcPr>
            <w:tcW w:w="36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RestTemplate</w:t>
            </w:r>
          </w:p>
        </w:tc>
        <w:tc>
          <w:tcPr>
            <w:tcW w:w="388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WebClient</w:t>
            </w:r>
          </w:p>
        </w:tc>
      </w:tr>
      <w:tr>
        <w:trPr/>
        <w:tc>
          <w:tcPr>
            <w:tcW w:w="21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Blocking vs Non-Blocking</w:t>
            </w:r>
          </w:p>
        </w:tc>
        <w:tc>
          <w:tcPr>
            <w:tcW w:w="36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Synchronous and blocking; execution halts until a response returns.</w:t>
            </w:r>
          </w:p>
        </w:tc>
        <w:tc>
          <w:tcPr>
            <w:tcW w:w="388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Asynchronous and non-blocking; utilizes reactive streams.</w:t>
            </w:r>
          </w:p>
        </w:tc>
      </w:tr>
      <w:tr>
        <w:trPr/>
        <w:tc>
          <w:tcPr>
            <w:tcW w:w="21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Performance</w:t>
            </w:r>
          </w:p>
        </w:tc>
        <w:tc>
          <w:tcPr>
            <w:tcW w:w="36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Adequate for low-load systems; degrades under high I/O latency.</w:t>
            </w:r>
          </w:p>
        </w:tc>
        <w:tc>
          <w:tcPr>
            <w:tcW w:w="388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Optimized for high-throughput, low-latency concurrent operations.</w:t>
            </w:r>
          </w:p>
        </w:tc>
      </w:tr>
      <w:tr>
        <w:trPr/>
        <w:tc>
          <w:tcPr>
            <w:tcW w:w="21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Scalability</w:t>
            </w:r>
          </w:p>
        </w:tc>
        <w:tc>
          <w:tcPr>
            <w:tcW w:w="36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Low; tightly capped by maximum thread pool capacity.</w:t>
            </w:r>
          </w:p>
        </w:tc>
        <w:tc>
          <w:tcPr>
            <w:tcW w:w="388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High; processes heavy concurrent traffic with minimal threads.</w:t>
            </w:r>
          </w:p>
        </w:tc>
      </w:tr>
      <w:tr>
        <w:trPr/>
        <w:tc>
          <w:tcPr>
            <w:tcW w:w="21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Thread Usage</w:t>
            </w:r>
          </w:p>
        </w:tc>
        <w:tc>
          <w:tcPr>
            <w:tcW w:w="36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Dedicated thread-per-request model.</w:t>
            </w:r>
          </w:p>
        </w:tc>
        <w:tc>
          <w:tcPr>
            <w:tcW w:w="388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Event-loop model utilizing a fixed pool of worker threads.</w:t>
            </w:r>
          </w:p>
        </w:tc>
      </w:tr>
      <w:tr>
        <w:trPr/>
        <w:tc>
          <w:tcPr>
            <w:tcW w:w="21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Memory Consumption</w:t>
            </w:r>
          </w:p>
        </w:tc>
        <w:tc>
          <w:tcPr>
            <w:tcW w:w="36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Higher footprint due to large thread stack allocations.</w:t>
            </w:r>
          </w:p>
        </w:tc>
        <w:tc>
          <w:tcPr>
            <w:tcW w:w="388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Lower footprint via non-blocking event-driven pipelines.</w:t>
            </w:r>
          </w:p>
        </w:tc>
      </w:tr>
      <w:tr>
        <w:trPr/>
        <w:tc>
          <w:tcPr>
            <w:tcW w:w="21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Reactive Support</w:t>
            </w:r>
          </w:p>
        </w:tc>
        <w:tc>
          <w:tcPr>
            <w:tcW w:w="36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None; imperative execution only.</w:t>
            </w:r>
          </w:p>
        </w:tc>
        <w:tc>
          <w:tcPr>
            <w:tcW w:w="388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>Full native support for Project Reactor (</w:t>
            </w:r>
            <w:r>
              <w:rPr>
                <w:rStyle w:val="SourceText"/>
                <w:rFonts w:ascii="Google Sans Text;sans-serif" w:hAnsi="Google Sans Text;sans-serif"/>
              </w:rPr>
              <w:t>Mono</w:t>
            </w:r>
            <w:r>
              <w:rPr>
                <w:rFonts w:ascii="Google Sans Text;sans-serif" w:hAnsi="Google Sans Text;sans-serif"/>
              </w:rPr>
              <w:t xml:space="preserve"> / </w:t>
            </w:r>
            <w:r>
              <w:rPr>
                <w:rStyle w:val="SourceText"/>
                <w:rFonts w:ascii="Google Sans Text;sans-serif" w:hAnsi="Google Sans Text;sans-serif"/>
              </w:rPr>
              <w:t>Flux</w:t>
            </w:r>
            <w:r>
              <w:rPr>
                <w:rFonts w:ascii="Google Sans Text;sans-serif" w:hAnsi="Google Sans Text;sans-serif"/>
              </w:rPr>
              <w:t>).</w:t>
            </w:r>
          </w:p>
        </w:tc>
      </w:tr>
      <w:tr>
        <w:trPr/>
        <w:tc>
          <w:tcPr>
            <w:tcW w:w="21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Best Use Cases</w:t>
            </w:r>
          </w:p>
        </w:tc>
        <w:tc>
          <w:tcPr>
            <w:tcW w:w="36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Traditional Spring MVC apps, simple utility scripts, low concurrency.</w:t>
            </w:r>
          </w:p>
        </w:tc>
        <w:tc>
          <w:tcPr>
            <w:tcW w:w="388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High-traffic reactive microservices, streaming (SSE/WebSockets), real-time apps.</w:t>
            </w:r>
          </w:p>
        </w:tc>
      </w:tr>
    </w:tbl>
    <w:p>
      <w:pPr>
        <w:pStyle w:val="Heading2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 Advantages &amp; Disadvantages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RestTemplate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Advantages:</w:t>
      </w:r>
      <w:r>
        <w:rPr>
          <w:rFonts w:ascii="Google Sans Text;sans-serif" w:hAnsi="Google Sans Text;sans-serif"/>
        </w:rPr>
        <w:t xml:space="preserve"> Simple imperative API, linear stack traces, and straightforward debugging with standard </w:t>
      </w:r>
      <w:r>
        <w:rPr>
          <w:rStyle w:val="SourceText"/>
          <w:rFonts w:ascii="Google Sans Text;sans-serif" w:hAnsi="Google Sans Text;sans-serif"/>
        </w:rPr>
        <w:t>try-catch</w:t>
      </w:r>
      <w:r>
        <w:rPr>
          <w:rFonts w:ascii="Google Sans Text;sans-serif" w:hAnsi="Google Sans Text;sans-serif"/>
        </w:rPr>
        <w:t xml:space="preserve"> blocks.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Disadvantages:</w:t>
      </w:r>
      <w:r>
        <w:rPr>
          <w:rFonts w:ascii="Google Sans Text;sans-serif" w:hAnsi="Google Sans Text;sans-serif"/>
        </w:rPr>
        <w:t xml:space="preserve"> Placed in maintenance mode by Spring; blocks worker threads during slow network calls, restricting scale.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WebClient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Advantages:</w:t>
      </w:r>
      <w:r>
        <w:rPr>
          <w:rFonts w:ascii="Google Sans Text;sans-serif" w:hAnsi="Google Sans Text;sans-serif"/>
        </w:rPr>
        <w:t xml:space="preserve"> Fluent functional builder API, native reactive integration, advanced request/response filtering, and superior resource efficiency.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Disadvantages:</w:t>
      </w:r>
      <w:r>
        <w:rPr>
          <w:rFonts w:ascii="Google Sans Text;sans-serif" w:hAnsi="Google Sans Text;sans-serif"/>
        </w:rPr>
        <w:t xml:space="preserve"> Steeper learning curve requiring familiarity with reactive operators; asynchronous stack traces complicate debugging.</w:t>
      </w:r>
    </w:p>
    <w:p>
      <w:pPr>
        <w:pStyle w:val="Heading2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 Practical Code Examples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RestTemplate Implementation (Blocking)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Synchronous execution using standard Spring MVC structures: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@Service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class RestTemplateExampleService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final RestTemplate restTemplate;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final String BASE_URL = "https://jsonplaceholder.typicode.com/posts";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RestTemplateExampleService(RestTemplate restTemplate)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this.restTemplate = restTemplate;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String getPost(Long id)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try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return restTemplate.getForObject(BASE_URL + "/" + id, String.class);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 catch (HttpClientErrorException.NotFound e)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return "Resource not found";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WebClient Implementation (Reactive &amp; Non-Blocking)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Asynchronous execution powered by Project Reactor and Netty event loops: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@Service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class WebClientExampleService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final WebClient webClient;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WebClientExampleService(WebClient.Builder webClientBuilder)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this.webClient = webClientBuilder.baseUrl("https://jsonplaceholder.typicode.com").build();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Mono&lt;String&gt; getPostReactive(Long id)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webClient.get()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.uri("/posts/{id}", id)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.retrieve()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 xml:space="preserve">.onStatus(HttpStatusCode::is4xxClientError, response -&gt; 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Mono.error(new RuntimeException("Not found (Reactive)")))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.bodyToMono(String.class);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336</Words>
  <Characters>2685</Characters>
  <CharactersWithSpaces>3147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2026-09-08T17:36:43Z</dcterms:created>
  <dc:creator/>
  <dc:description/>
  <dc:language>en-US</dc:language>
  <cp:lastModifiedBy/>
  <dcterms:modified xsi:type="dcterms:W3CDTF">2026-09-08T17:38:07Z</dcterms:modified>
  <cp:revision>1</cp:revision>
  <dc:subject/>
  <dc:title/>
</cp:coreProperties>
</file>