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Apache Kafka achieves fault tolerance and durability through distributed partition replication, immutable write-ahead commit logs, and configurable consensus thresholds across producers and broker clusters.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Distributed Partition Replication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Each topic partition is replicated across multiple physical brokers according to the topic's </w:t>
      </w:r>
      <w:r>
        <w:rPr>
          <w:rFonts w:ascii="Google Sans Text;sans-serif" w:hAnsi="Google Sans Text;sans-serif"/>
          <w:b/>
        </w:rPr>
        <w:t>Replication Factor (RF)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Leader Replica:</w:t>
      </w:r>
      <w:r>
        <w:rPr>
          <w:rFonts w:ascii="Google Sans Text;sans-serif" w:hAnsi="Google Sans Text;sans-serif"/>
        </w:rPr>
        <w:t xml:space="preserve"> Handles 100% of producer writes and consumer reads for that partition under standard operations.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Follower Replicas:</w:t>
      </w:r>
      <w:r>
        <w:rPr>
          <w:rFonts w:ascii="Google Sans Text;sans-serif" w:hAnsi="Google Sans Text;sans-serif"/>
        </w:rPr>
        <w:t xml:space="preserve"> Passively fetch records from the Leader's commit log to maintain identical local copies.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In-Sync Replicas (ISR):</w:t>
      </w:r>
      <w:r>
        <w:rPr>
          <w:rFonts w:ascii="Google Sans Text;sans-serif" w:hAnsi="Google Sans Text;sans-serif"/>
        </w:rPr>
        <w:t xml:space="preserve"> The set of live replicas (Leader + Followers) currently caught up with the Leader's log end offset within the </w:t>
      </w:r>
      <w:r>
        <w:rPr>
          <w:rStyle w:val="SourceText"/>
          <w:rFonts w:ascii="Google Sans Text;sans-serif" w:hAnsi="Google Sans Text;sans-serif"/>
        </w:rPr>
        <w:t>replica.lag.time.max.ms</w:t>
      </w:r>
      <w:r>
        <w:rPr>
          <w:rFonts w:ascii="Google Sans Text;sans-serif" w:hAnsi="Google Sans Text;sans-serif"/>
        </w:rPr>
        <w:t xml:space="preserve"> window.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The Zero-Data-Loss Configuration Triad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Durability guarantees are enforced at write time through the interplay of three configuration parameters: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424"/>
        <w:gridCol w:w="1316"/>
        <w:gridCol w:w="4144"/>
        <w:gridCol w:w="1754"/>
      </w:tblGrid>
      <w:tr>
        <w:trPr>
          <w:tblHeader w:val="true"/>
        </w:trPr>
        <w:tc>
          <w:tcPr>
            <w:tcW w:w="242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Parameter</w:t>
            </w:r>
          </w:p>
        </w:tc>
        <w:tc>
          <w:tcPr>
            <w:tcW w:w="131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Scope</w:t>
            </w:r>
          </w:p>
        </w:tc>
        <w:tc>
          <w:tcPr>
            <w:tcW w:w="414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Purpose</w:t>
            </w:r>
          </w:p>
        </w:tc>
        <w:tc>
          <w:tcPr>
            <w:tcW w:w="175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Production Target</w:t>
            </w:r>
          </w:p>
        </w:tc>
      </w:tr>
      <w:tr>
        <w:trPr/>
        <w:tc>
          <w:tcPr>
            <w:tcW w:w="242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replication.factor</w:t>
            </w:r>
          </w:p>
        </w:tc>
        <w:tc>
          <w:tcPr>
            <w:tcW w:w="131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Topic / Broker</w:t>
            </w:r>
          </w:p>
        </w:tc>
        <w:tc>
          <w:tcPr>
            <w:tcW w:w="414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Defines total copies of a partition stored across different brokers.</w:t>
            </w:r>
          </w:p>
        </w:tc>
        <w:tc>
          <w:tcPr>
            <w:tcW w:w="175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3</w:t>
            </w:r>
          </w:p>
        </w:tc>
      </w:tr>
      <w:tr>
        <w:trPr/>
        <w:tc>
          <w:tcPr>
            <w:tcW w:w="242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acks=all</w:t>
            </w:r>
          </w:p>
        </w:tc>
        <w:tc>
          <w:tcPr>
            <w:tcW w:w="131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Producer</w:t>
            </w:r>
          </w:p>
        </w:tc>
        <w:tc>
          <w:tcPr>
            <w:tcW w:w="414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Requires confirmation from all ISR members before marking a batch committed.</w:t>
            </w:r>
          </w:p>
        </w:tc>
        <w:tc>
          <w:tcPr>
            <w:tcW w:w="175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all</w:t>
            </w:r>
            <w:r>
              <w:rPr>
                <w:rFonts w:ascii="Google Sans Text;sans-serif" w:hAnsi="Google Sans Text;sans-serif"/>
              </w:rPr>
              <w:t xml:space="preserve"> (or </w:t>
            </w:r>
            <w:r>
              <w:rPr>
                <w:rStyle w:val="SourceText"/>
                <w:rFonts w:ascii="Google Sans Text;sans-serif" w:hAnsi="Google Sans Text;sans-serif"/>
              </w:rPr>
              <w:t>-1</w:t>
            </w:r>
            <w:r>
              <w:rPr>
                <w:rFonts w:ascii="Google Sans Text;sans-serif" w:hAnsi="Google Sans Text;sans-serif"/>
              </w:rPr>
              <w:t>)</w:t>
            </w:r>
          </w:p>
        </w:tc>
      </w:tr>
      <w:tr>
        <w:trPr/>
        <w:tc>
          <w:tcPr>
            <w:tcW w:w="242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min.insync.replicas</w:t>
            </w:r>
          </w:p>
        </w:tc>
        <w:tc>
          <w:tcPr>
            <w:tcW w:w="131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Broker / Topic</w:t>
            </w:r>
          </w:p>
        </w:tc>
        <w:tc>
          <w:tcPr>
            <w:tcW w:w="414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Minimum active ISR count required to accept an </w:t>
            </w:r>
            <w:r>
              <w:rPr>
                <w:rStyle w:val="SourceText"/>
                <w:rFonts w:ascii="Google Sans Text;sans-serif" w:hAnsi="Google Sans Text;sans-serif"/>
              </w:rPr>
              <w:t>acks=all</w:t>
            </w:r>
            <w:r>
              <w:rPr>
                <w:rFonts w:ascii="Google Sans Text;sans-serif" w:hAnsi="Google Sans Text;sans-serif"/>
              </w:rPr>
              <w:t xml:space="preserve"> write.</w:t>
            </w:r>
          </w:p>
        </w:tc>
        <w:tc>
          <w:tcPr>
            <w:tcW w:w="175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2</w:t>
            </w:r>
          </w:p>
        </w:tc>
      </w:tr>
    </w:tbl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formula for maximum tolerable broker crashes without data loss or write downtime: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$$\text{Tolerable Failures} = \text{Replication Factor} - \text{min.insync.replicas}$$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With $\text{RF}=3$ and $\text{min.insync.replicas}=2$, a cluster can lose 1 broker with zero data loss and uninterrupted write operations. If a second broker fails, writes halt with a </w:t>
      </w:r>
      <w:r>
        <w:rPr>
          <w:rStyle w:val="SourceText"/>
          <w:rFonts w:ascii="Google Sans Text;sans-serif" w:hAnsi="Google Sans Text;sans-serif"/>
        </w:rPr>
        <w:t>NotEnoughReplicasException</w:t>
      </w:r>
      <w:r>
        <w:rPr>
          <w:rFonts w:ascii="Google Sans Text;sans-serif" w:hAnsi="Google Sans Text;sans-serif"/>
        </w:rPr>
        <w:t xml:space="preserve"> to protect state integrity rather than risk dirty writes.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Immutable Disk Storage &amp; Sequential I/O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>Kafka stores messages on disk in an append-only commit log divided into segment files (</w:t>
      </w:r>
      <w:r>
        <w:rPr>
          <w:rStyle w:val="SourceText"/>
          <w:rFonts w:ascii="Google Sans Text;sans-serif" w:hAnsi="Google Sans Text;sans-serif"/>
        </w:rPr>
        <w:t>.log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.index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.timeindex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Sequential Disk Access:</w:t>
      </w:r>
      <w:r>
        <w:rPr>
          <w:rFonts w:ascii="Google Sans Text;sans-serif" w:hAnsi="Google Sans Text;sans-serif"/>
        </w:rPr>
        <w:t xml:space="preserve"> Appending records sequentially to log segments achieves disk throughput near RAM speeds, avoiding high-latency random disk seeks.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OS Page Cache &amp; Zero-Copy:</w:t>
      </w:r>
      <w:r>
        <w:rPr>
          <w:rFonts w:ascii="Google Sans Text;sans-serif" w:hAnsi="Google Sans Text;sans-serif"/>
        </w:rPr>
        <w:t xml:space="preserve"> Kafka delegates caching directly to the operating system's page cache. When reading, it leverages the </w:t>
      </w:r>
      <w:r>
        <w:rPr>
          <w:rStyle w:val="SourceText"/>
          <w:rFonts w:ascii="Google Sans Text;sans-serif" w:hAnsi="Google Sans Text;sans-serif"/>
        </w:rPr>
        <w:t>sendfile()</w:t>
      </w:r>
      <w:r>
        <w:rPr>
          <w:rFonts w:ascii="Google Sans Text;sans-serif" w:hAnsi="Google Sans Text;sans-serif"/>
        </w:rPr>
        <w:t xml:space="preserve"> system call to bypass user-space memory, transferring bytes directly from page cache to the network socket.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Log Flushing:</w:t>
      </w:r>
      <w:r>
        <w:rPr>
          <w:rFonts w:ascii="Google Sans Text;sans-serif" w:hAnsi="Google Sans Text;sans-serif"/>
        </w:rPr>
        <w:t xml:space="preserve"> Broker logs rely on background OS page cache flushing (</w:t>
      </w:r>
      <w:r>
        <w:rPr>
          <w:rStyle w:val="SourceText"/>
          <w:rFonts w:ascii="Google Sans Text;sans-serif" w:hAnsi="Google Sans Text;sans-serif"/>
        </w:rPr>
        <w:t>fsync</w:t>
      </w:r>
      <w:r>
        <w:rPr>
          <w:rFonts w:ascii="Google Sans Text;sans-serif" w:hAnsi="Google Sans Text;sans-serif"/>
        </w:rPr>
        <w:t xml:space="preserve">). Replicating data across distinct hardware nodes replaces the heavy performance penalty of synchronous </w:t>
      </w:r>
      <w:r>
        <w:rPr>
          <w:rStyle w:val="SourceText"/>
          <w:rFonts w:ascii="Google Sans Text;sans-serif" w:hAnsi="Google Sans Text;sans-serif"/>
        </w:rPr>
        <w:t>fsync</w:t>
      </w:r>
      <w:r>
        <w:rPr>
          <w:rFonts w:ascii="Google Sans Text;sans-serif" w:hAnsi="Google Sans Text;sans-serif"/>
        </w:rPr>
        <w:t xml:space="preserve"> on every message.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4. Broker Failover &amp; High Watermark Management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When a Leader broker crashes, Kafka maintains partition consistency through offset tracking and automated leader promotion: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Log End Offset (LEO):</w:t>
      </w:r>
      <w:r>
        <w:rPr>
          <w:rFonts w:ascii="Google Sans Text;sans-serif" w:hAnsi="Google Sans Text;sans-serif"/>
        </w:rPr>
        <w:t xml:space="preserve"> The offset of the next record to be written in a partition replica.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High Watermark (HW):</w:t>
      </w:r>
      <w:r>
        <w:rPr>
          <w:rFonts w:ascii="Google Sans Text;sans-serif" w:hAnsi="Google Sans Text;sans-serif"/>
        </w:rPr>
        <w:t xml:space="preserve"> The highest offset replicated across </w:t>
      </w:r>
      <w:r>
        <w:rPr>
          <w:rFonts w:ascii="Google Sans Text;sans-serif" w:hAnsi="Google Sans Text;sans-serif"/>
          <w:b/>
        </w:rPr>
        <w:t>all</w:t>
      </w:r>
      <w:r>
        <w:rPr>
          <w:rFonts w:ascii="Google Sans Text;sans-serif" w:hAnsi="Google Sans Text;sans-serif"/>
        </w:rPr>
        <w:t xml:space="preserve"> ISR members. Consumers can only read up to the High Watermark, guaranteeing that uncommitted or partially replicated records are never exposed.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Leader Election:</w:t>
      </w:r>
      <w:r>
        <w:rPr>
          <w:rFonts w:ascii="Google Sans Text;sans-serif" w:hAnsi="Google Sans Text;sans-serif"/>
        </w:rPr>
        <w:t xml:space="preserve"> The Active Controller (managed via KRaft or ZooKeeper) detects heartbeat loss, picks a new Leader strictly from the existing ISR pool, updates cluster metadata, and notifies connected clients.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Re-syncing / Truncation:</w:t>
      </w:r>
      <w:r>
        <w:rPr>
          <w:rFonts w:ascii="Google Sans Text;sans-serif" w:hAnsi="Google Sans Text;sans-serif"/>
        </w:rPr>
        <w:t xml:space="preserve"> When a failed Leader recovers, it reconnects as a Follower, truncates its local log back to the High Watermark at the time of failure to resolve diverging offsets, and resumes fetching from the new Leader until re-added to the ISR.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5. Availability vs. Durability Trade-offs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By default, </w:t>
      </w:r>
      <w:r>
        <w:rPr>
          <w:rStyle w:val="SourceText"/>
          <w:rFonts w:ascii="Google Sans Text;sans-serif" w:hAnsi="Google Sans Text;sans-serif"/>
          <w:b/>
        </w:rPr>
        <w:t>unclean.leader.election.enable=false</w:t>
      </w:r>
      <w:r>
        <w:rPr>
          <w:rFonts w:ascii="Google Sans Text;sans-serif" w:hAnsi="Google Sans Text;sans-serif"/>
        </w:rPr>
        <w:t xml:space="preserve">. If all ISR members crash, Kafka refuses to promote an out-of-sync follower, halting writes until an ISR member recovers. Setting this property to </w:t>
      </w:r>
      <w:r>
        <w:rPr>
          <w:rStyle w:val="SourceText"/>
          <w:rFonts w:ascii="Google Sans Text;sans-serif" w:hAnsi="Google Sans Text;sans-serif"/>
        </w:rPr>
        <w:t>true</w:t>
      </w:r>
      <w:r>
        <w:rPr>
          <w:rFonts w:ascii="Google Sans Text;sans-serif" w:hAnsi="Google Sans Text;sans-serif"/>
        </w:rPr>
        <w:t xml:space="preserve"> prioritizes cluster availability over data safety by allowing out-of-sync followers to take over, which results in message loss for un-replicated records.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542</Words>
  <Characters>3265</Characters>
  <CharactersWithSpaces>3757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2026-09-10T17:27:17Z</dcterms:created>
  <dc:creator/>
  <dc:description/>
  <dc:language>en-US</dc:language>
  <cp:lastModifiedBy/>
  <dcterms:modified xsi:type="dcterms:W3CDTF">2026-09-10T17:28:46Z</dcterms:modified>
  <cp:revision>1</cp:revision>
  <dc:subject/>
  <dc:title/>
</cp:coreProperties>
</file>