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bidi w:val="0"/>
        <w:spacing w:lineRule="auto" w:line="273" w:before="0" w:after="140"/>
        <w:ind w:hanging="0" w:left="0" w:right="0"/>
        <w:jc w:val="left"/>
        <w:rPr>
          <w:rFonts w:ascii="Google Sans Text;sans-serif" w:hAnsi="Google Sans Text;sans-serif"/>
        </w:rPr>
      </w:pPr>
      <w:r>
        <w:rPr>
          <w:rFonts w:ascii="Google Sans Text;sans-serif" w:hAnsi="Google Sans Text;sans-serif"/>
        </w:rPr>
        <w:t>Apache Kafka and RabbitMQ fulfill messaging requirements through opposing architectural paradigms: Kafka is a distributed, append-only event streaming log, whereas RabbitMQ is a traditional AMQP-compliant message queue broker.</w:t>
      </w:r>
    </w:p>
    <w:p>
      <w:pPr>
        <w:pStyle w:val="Heading3"/>
        <w:bidi w:val="0"/>
        <w:spacing w:lineRule="auto" w:line="273" w:before="0" w:after="140"/>
        <w:ind w:hanging="0" w:left="0" w:right="0"/>
        <w:jc w:val="left"/>
        <w:rPr>
          <w:rFonts w:ascii="Google Sans;sans-serif" w:hAnsi="Google Sans;sans-serif"/>
        </w:rPr>
      </w:pPr>
      <w:r>
        <w:rPr>
          <w:rFonts w:ascii="Google Sans;sans-serif" w:hAnsi="Google Sans;sans-serif"/>
        </w:rPr>
        <w:t>Architectural Comparison Matrix</w:t>
      </w:r>
    </w:p>
    <w:tbl>
      <w:tblPr>
        <w:tblW w:w="9638" w:type="dxa"/>
        <w:jc w:val="left"/>
        <w:tblInd w:w="0" w:type="dxa"/>
        <w:tblLayout w:type="fixed"/>
        <w:tblCellMar>
          <w:top w:w="120" w:type="dxa"/>
          <w:left w:w="180" w:type="dxa"/>
          <w:bottom w:w="120" w:type="dxa"/>
          <w:right w:w="180" w:type="dxa"/>
        </w:tblCellMar>
      </w:tblPr>
      <w:tblGrid>
        <w:gridCol w:w="2095"/>
        <w:gridCol w:w="3690"/>
        <w:gridCol w:w="3853"/>
      </w:tblGrid>
      <w:tr>
        <w:trPr>
          <w:tblHeader w:val="true"/>
        </w:trPr>
        <w:tc>
          <w:tcPr>
            <w:tcW w:w="2095" w:type="dxa"/>
            <w:tcBorders>
              <w:top w:val="single" w:sz="2" w:space="0" w:color="C4C7C5"/>
              <w:left w:val="single" w:sz="2" w:space="0" w:color="C4C7C5"/>
              <w:bottom w:val="single" w:sz="2" w:space="0" w:color="C4C7C5"/>
              <w:right w:val="single" w:sz="2" w:space="0" w:color="C4C7C5"/>
            </w:tcBorders>
            <w:vAlign w:val="center"/>
          </w:tcPr>
          <w:p>
            <w:pPr>
              <w:pStyle w:val="TableContents"/>
              <w:bidi w:val="0"/>
              <w:spacing w:lineRule="auto" w:line="273" w:before="0" w:after="0"/>
              <w:ind w:hanging="0" w:left="0" w:right="0"/>
              <w:jc w:val="left"/>
              <w:rPr/>
            </w:pPr>
            <w:r>
              <w:rPr>
                <w:rStyle w:val="Strong"/>
                <w:rFonts w:ascii="Google Sans Text;sans-serif" w:hAnsi="Google Sans Text;sans-serif"/>
              </w:rPr>
              <w:t>Feature / Dimension</w:t>
            </w:r>
          </w:p>
        </w:tc>
        <w:tc>
          <w:tcPr>
            <w:tcW w:w="3690" w:type="dxa"/>
            <w:tcBorders>
              <w:top w:val="single" w:sz="2" w:space="0" w:color="C4C7C5"/>
              <w:left w:val="single" w:sz="2" w:space="0" w:color="C4C7C5"/>
              <w:bottom w:val="single" w:sz="2" w:space="0" w:color="C4C7C5"/>
              <w:right w:val="single" w:sz="2" w:space="0" w:color="C4C7C5"/>
            </w:tcBorders>
            <w:vAlign w:val="center"/>
          </w:tcPr>
          <w:p>
            <w:pPr>
              <w:pStyle w:val="TableContents"/>
              <w:bidi w:val="0"/>
              <w:spacing w:lineRule="auto" w:line="273" w:before="0" w:after="0"/>
              <w:ind w:hanging="0" w:left="0" w:right="0"/>
              <w:jc w:val="left"/>
              <w:rPr/>
            </w:pPr>
            <w:r>
              <w:rPr>
                <w:rStyle w:val="Strong"/>
                <w:rFonts w:ascii="Google Sans Text;sans-serif" w:hAnsi="Google Sans Text;sans-serif"/>
              </w:rPr>
              <w:t>Apache Kafka</w:t>
            </w:r>
          </w:p>
        </w:tc>
        <w:tc>
          <w:tcPr>
            <w:tcW w:w="3853" w:type="dxa"/>
            <w:tcBorders>
              <w:top w:val="single" w:sz="2" w:space="0" w:color="C4C7C5"/>
              <w:left w:val="single" w:sz="2" w:space="0" w:color="C4C7C5"/>
              <w:bottom w:val="single" w:sz="2" w:space="0" w:color="C4C7C5"/>
              <w:right w:val="single" w:sz="2" w:space="0" w:color="C4C7C5"/>
            </w:tcBorders>
            <w:vAlign w:val="center"/>
          </w:tcPr>
          <w:p>
            <w:pPr>
              <w:pStyle w:val="TableContents"/>
              <w:bidi w:val="0"/>
              <w:spacing w:lineRule="auto" w:line="273" w:before="0" w:after="0"/>
              <w:ind w:hanging="0" w:left="0" w:right="0"/>
              <w:jc w:val="left"/>
              <w:rPr/>
            </w:pPr>
            <w:r>
              <w:rPr>
                <w:rStyle w:val="Strong"/>
                <w:rFonts w:ascii="Google Sans Text;sans-serif" w:hAnsi="Google Sans Text;sans-serif"/>
              </w:rPr>
              <w:t>RabbitMQ</w:t>
            </w:r>
          </w:p>
        </w:tc>
      </w:tr>
      <w:tr>
        <w:trPr/>
        <w:tc>
          <w:tcPr>
            <w:tcW w:w="2095" w:type="dxa"/>
            <w:tcBorders>
              <w:top w:val="single" w:sz="2" w:space="0" w:color="C4C7C5"/>
              <w:left w:val="single" w:sz="2" w:space="0" w:color="C4C7C5"/>
              <w:bottom w:val="single" w:sz="2" w:space="0" w:color="C4C7C5"/>
              <w:right w:val="single" w:sz="2" w:space="0" w:color="C4C7C5"/>
            </w:tcBorders>
            <w:vAlign w:val="center"/>
          </w:tcPr>
          <w:p>
            <w:pPr>
              <w:pStyle w:val="TableContents"/>
              <w:bidi w:val="0"/>
              <w:spacing w:lineRule="auto" w:line="273" w:before="0" w:after="140"/>
              <w:ind w:hanging="0" w:left="0" w:right="0"/>
              <w:jc w:val="left"/>
              <w:rPr>
                <w:rFonts w:ascii="Google Sans Text;sans-serif" w:hAnsi="Google Sans Text;sans-serif"/>
                <w:b/>
              </w:rPr>
            </w:pPr>
            <w:r>
              <w:rPr>
                <w:rFonts w:ascii="Google Sans Text;sans-serif" w:hAnsi="Google Sans Text;sans-serif"/>
                <w:b/>
              </w:rPr>
              <w:t>Primary Architecture</w:t>
            </w:r>
          </w:p>
        </w:tc>
        <w:tc>
          <w:tcPr>
            <w:tcW w:w="3690" w:type="dxa"/>
            <w:tcBorders>
              <w:top w:val="single" w:sz="2" w:space="0" w:color="C4C7C5"/>
              <w:left w:val="single" w:sz="2" w:space="0" w:color="C4C7C5"/>
              <w:bottom w:val="single" w:sz="2" w:space="0" w:color="C4C7C5"/>
              <w:right w:val="single" w:sz="2" w:space="0" w:color="C4C7C5"/>
            </w:tcBorders>
            <w:vAlign w:val="center"/>
          </w:tcPr>
          <w:p>
            <w:pPr>
              <w:pStyle w:val="TableContents"/>
              <w:bidi w:val="0"/>
              <w:spacing w:lineRule="auto" w:line="273" w:before="0" w:after="140"/>
              <w:ind w:hanging="0" w:left="0" w:right="0"/>
              <w:jc w:val="left"/>
              <w:rPr>
                <w:rFonts w:ascii="Google Sans Text;sans-serif" w:hAnsi="Google Sans Text;sans-serif"/>
              </w:rPr>
            </w:pPr>
            <w:r>
              <w:rPr>
                <w:rFonts w:ascii="Google Sans Text;sans-serif" w:hAnsi="Google Sans Text;sans-serif"/>
              </w:rPr>
              <w:t>Distributed Append-Only Commit Log</w:t>
            </w:r>
          </w:p>
        </w:tc>
        <w:tc>
          <w:tcPr>
            <w:tcW w:w="3853" w:type="dxa"/>
            <w:tcBorders>
              <w:top w:val="single" w:sz="2" w:space="0" w:color="C4C7C5"/>
              <w:left w:val="single" w:sz="2" w:space="0" w:color="C4C7C5"/>
              <w:bottom w:val="single" w:sz="2" w:space="0" w:color="C4C7C5"/>
              <w:right w:val="single" w:sz="2" w:space="0" w:color="C4C7C5"/>
            </w:tcBorders>
            <w:vAlign w:val="center"/>
          </w:tcPr>
          <w:p>
            <w:pPr>
              <w:pStyle w:val="TableContents"/>
              <w:bidi w:val="0"/>
              <w:spacing w:lineRule="auto" w:line="273" w:before="0" w:after="140"/>
              <w:ind w:hanging="0" w:left="0" w:right="0"/>
              <w:jc w:val="left"/>
              <w:rPr>
                <w:rFonts w:ascii="Google Sans Text;sans-serif" w:hAnsi="Google Sans Text;sans-serif"/>
              </w:rPr>
            </w:pPr>
            <w:r>
              <w:rPr>
                <w:rFonts w:ascii="Google Sans Text;sans-serif" w:hAnsi="Google Sans Text;sans-serif"/>
              </w:rPr>
              <w:t>Smart Broker / Queue-Based Message Exchange</w:t>
            </w:r>
          </w:p>
        </w:tc>
      </w:tr>
      <w:tr>
        <w:trPr/>
        <w:tc>
          <w:tcPr>
            <w:tcW w:w="2095" w:type="dxa"/>
            <w:tcBorders>
              <w:top w:val="single" w:sz="2" w:space="0" w:color="C4C7C5"/>
              <w:left w:val="single" w:sz="2" w:space="0" w:color="C4C7C5"/>
              <w:bottom w:val="single" w:sz="2" w:space="0" w:color="C4C7C5"/>
              <w:right w:val="single" w:sz="2" w:space="0" w:color="C4C7C5"/>
            </w:tcBorders>
            <w:vAlign w:val="center"/>
          </w:tcPr>
          <w:p>
            <w:pPr>
              <w:pStyle w:val="TableContents"/>
              <w:bidi w:val="0"/>
              <w:spacing w:lineRule="auto" w:line="273" w:before="0" w:after="140"/>
              <w:ind w:hanging="0" w:left="0" w:right="0"/>
              <w:jc w:val="left"/>
              <w:rPr>
                <w:rFonts w:ascii="Google Sans Text;sans-serif" w:hAnsi="Google Sans Text;sans-serif"/>
                <w:b/>
              </w:rPr>
            </w:pPr>
            <w:r>
              <w:rPr>
                <w:rFonts w:ascii="Google Sans Text;sans-serif" w:hAnsi="Google Sans Text;sans-serif"/>
                <w:b/>
              </w:rPr>
              <w:t>Messaging Paradigm</w:t>
            </w:r>
          </w:p>
        </w:tc>
        <w:tc>
          <w:tcPr>
            <w:tcW w:w="3690" w:type="dxa"/>
            <w:tcBorders>
              <w:top w:val="single" w:sz="2" w:space="0" w:color="C4C7C5"/>
              <w:left w:val="single" w:sz="2" w:space="0" w:color="C4C7C5"/>
              <w:bottom w:val="single" w:sz="2" w:space="0" w:color="C4C7C5"/>
              <w:right w:val="single" w:sz="2" w:space="0" w:color="C4C7C5"/>
            </w:tcBorders>
            <w:vAlign w:val="center"/>
          </w:tcPr>
          <w:p>
            <w:pPr>
              <w:pStyle w:val="TableContents"/>
              <w:bidi w:val="0"/>
              <w:spacing w:lineRule="auto" w:line="273" w:before="0" w:after="140"/>
              <w:ind w:hanging="0" w:left="0" w:right="0"/>
              <w:jc w:val="left"/>
              <w:rPr>
                <w:rFonts w:ascii="Google Sans Text;sans-serif" w:hAnsi="Google Sans Text;sans-serif"/>
              </w:rPr>
            </w:pPr>
            <w:r>
              <w:rPr>
                <w:rFonts w:ascii="Google Sans Text;sans-serif" w:hAnsi="Google Sans Text;sans-serif"/>
                <w:b/>
              </w:rPr>
              <w:t>Pull-based</w:t>
            </w:r>
            <w:r>
              <w:rPr>
                <w:rFonts w:ascii="Google Sans Text;sans-serif" w:hAnsi="Google Sans Text;sans-serif"/>
              </w:rPr>
              <w:t xml:space="preserve"> (Consumers fetch records at their own pace)</w:t>
            </w:r>
          </w:p>
        </w:tc>
        <w:tc>
          <w:tcPr>
            <w:tcW w:w="3853" w:type="dxa"/>
            <w:tcBorders>
              <w:top w:val="single" w:sz="2" w:space="0" w:color="C4C7C5"/>
              <w:left w:val="single" w:sz="2" w:space="0" w:color="C4C7C5"/>
              <w:bottom w:val="single" w:sz="2" w:space="0" w:color="C4C7C5"/>
              <w:right w:val="single" w:sz="2" w:space="0" w:color="C4C7C5"/>
            </w:tcBorders>
            <w:vAlign w:val="center"/>
          </w:tcPr>
          <w:p>
            <w:pPr>
              <w:pStyle w:val="TableContents"/>
              <w:bidi w:val="0"/>
              <w:spacing w:lineRule="auto" w:line="273" w:before="0" w:after="140"/>
              <w:ind w:hanging="0" w:left="0" w:right="0"/>
              <w:jc w:val="left"/>
              <w:rPr>
                <w:rFonts w:ascii="Google Sans Text;sans-serif" w:hAnsi="Google Sans Text;sans-serif"/>
              </w:rPr>
            </w:pPr>
            <w:r>
              <w:rPr>
                <w:rFonts w:ascii="Google Sans Text;sans-serif" w:hAnsi="Google Sans Text;sans-serif"/>
                <w:b/>
              </w:rPr>
              <w:t>Push-based</w:t>
            </w:r>
            <w:r>
              <w:rPr>
                <w:rFonts w:ascii="Google Sans Text;sans-serif" w:hAnsi="Google Sans Text;sans-serif"/>
              </w:rPr>
              <w:t xml:space="preserve"> (Broker actively delivers messages to consumers)</w:t>
            </w:r>
          </w:p>
        </w:tc>
      </w:tr>
      <w:tr>
        <w:trPr/>
        <w:tc>
          <w:tcPr>
            <w:tcW w:w="2095" w:type="dxa"/>
            <w:tcBorders>
              <w:top w:val="single" w:sz="2" w:space="0" w:color="C4C7C5"/>
              <w:left w:val="single" w:sz="2" w:space="0" w:color="C4C7C5"/>
              <w:bottom w:val="single" w:sz="2" w:space="0" w:color="C4C7C5"/>
              <w:right w:val="single" w:sz="2" w:space="0" w:color="C4C7C5"/>
            </w:tcBorders>
            <w:vAlign w:val="center"/>
          </w:tcPr>
          <w:p>
            <w:pPr>
              <w:pStyle w:val="TableContents"/>
              <w:bidi w:val="0"/>
              <w:spacing w:lineRule="auto" w:line="273" w:before="0" w:after="140"/>
              <w:ind w:hanging="0" w:left="0" w:right="0"/>
              <w:jc w:val="left"/>
              <w:rPr>
                <w:rFonts w:ascii="Google Sans Text;sans-serif" w:hAnsi="Google Sans Text;sans-serif"/>
                <w:b/>
              </w:rPr>
            </w:pPr>
            <w:r>
              <w:rPr>
                <w:rFonts w:ascii="Google Sans Text;sans-serif" w:hAnsi="Google Sans Text;sans-serif"/>
                <w:b/>
              </w:rPr>
              <w:t>Data Retention</w:t>
            </w:r>
          </w:p>
        </w:tc>
        <w:tc>
          <w:tcPr>
            <w:tcW w:w="3690" w:type="dxa"/>
            <w:tcBorders>
              <w:top w:val="single" w:sz="2" w:space="0" w:color="C4C7C5"/>
              <w:left w:val="single" w:sz="2" w:space="0" w:color="C4C7C5"/>
              <w:bottom w:val="single" w:sz="2" w:space="0" w:color="C4C7C5"/>
              <w:right w:val="single" w:sz="2" w:space="0" w:color="C4C7C5"/>
            </w:tcBorders>
            <w:vAlign w:val="center"/>
          </w:tcPr>
          <w:p>
            <w:pPr>
              <w:pStyle w:val="TableContents"/>
              <w:bidi w:val="0"/>
              <w:spacing w:lineRule="auto" w:line="273" w:before="0" w:after="140"/>
              <w:ind w:hanging="0" w:left="0" w:right="0"/>
              <w:jc w:val="left"/>
              <w:rPr>
                <w:rFonts w:ascii="Google Sans Text;sans-serif" w:hAnsi="Google Sans Text;sans-serif"/>
              </w:rPr>
            </w:pPr>
            <w:r>
              <w:rPr>
                <w:rFonts w:ascii="Google Sans Text;sans-serif" w:hAnsi="Google Sans Text;sans-serif"/>
                <w:b/>
              </w:rPr>
              <w:t>Persistent by default</w:t>
            </w:r>
            <w:r>
              <w:rPr>
                <w:rFonts w:ascii="Google Sans Text;sans-serif" w:hAnsi="Google Sans Text;sans-serif"/>
              </w:rPr>
              <w:t xml:space="preserve"> (Retained by time, size, or compaction)</w:t>
            </w:r>
          </w:p>
        </w:tc>
        <w:tc>
          <w:tcPr>
            <w:tcW w:w="3853" w:type="dxa"/>
            <w:tcBorders>
              <w:top w:val="single" w:sz="2" w:space="0" w:color="C4C7C5"/>
              <w:left w:val="single" w:sz="2" w:space="0" w:color="C4C7C5"/>
              <w:bottom w:val="single" w:sz="2" w:space="0" w:color="C4C7C5"/>
              <w:right w:val="single" w:sz="2" w:space="0" w:color="C4C7C5"/>
            </w:tcBorders>
            <w:vAlign w:val="center"/>
          </w:tcPr>
          <w:p>
            <w:pPr>
              <w:pStyle w:val="TableContents"/>
              <w:bidi w:val="0"/>
              <w:spacing w:lineRule="auto" w:line="273" w:before="0" w:after="140"/>
              <w:ind w:hanging="0" w:left="0" w:right="0"/>
              <w:jc w:val="left"/>
              <w:rPr>
                <w:rFonts w:ascii="Google Sans Text;sans-serif" w:hAnsi="Google Sans Text;sans-serif"/>
              </w:rPr>
            </w:pPr>
            <w:r>
              <w:rPr>
                <w:rFonts w:ascii="Google Sans Text;sans-serif" w:hAnsi="Google Sans Text;sans-serif"/>
                <w:b/>
              </w:rPr>
              <w:t>Ephemeral by default</w:t>
            </w:r>
            <w:r>
              <w:rPr>
                <w:rFonts w:ascii="Google Sans Text;sans-serif" w:hAnsi="Google Sans Text;sans-serif"/>
              </w:rPr>
              <w:t xml:space="preserve"> (Messages are purged once acknowledged)</w:t>
            </w:r>
          </w:p>
        </w:tc>
      </w:tr>
      <w:tr>
        <w:trPr/>
        <w:tc>
          <w:tcPr>
            <w:tcW w:w="2095" w:type="dxa"/>
            <w:tcBorders>
              <w:top w:val="single" w:sz="2" w:space="0" w:color="C4C7C5"/>
              <w:left w:val="single" w:sz="2" w:space="0" w:color="C4C7C5"/>
              <w:bottom w:val="single" w:sz="2" w:space="0" w:color="C4C7C5"/>
              <w:right w:val="single" w:sz="2" w:space="0" w:color="C4C7C5"/>
            </w:tcBorders>
            <w:vAlign w:val="center"/>
          </w:tcPr>
          <w:p>
            <w:pPr>
              <w:pStyle w:val="TableContents"/>
              <w:bidi w:val="0"/>
              <w:spacing w:lineRule="auto" w:line="273" w:before="0" w:after="140"/>
              <w:ind w:hanging="0" w:left="0" w:right="0"/>
              <w:jc w:val="left"/>
              <w:rPr>
                <w:rFonts w:ascii="Google Sans Text;sans-serif" w:hAnsi="Google Sans Text;sans-serif"/>
                <w:b/>
              </w:rPr>
            </w:pPr>
            <w:r>
              <w:rPr>
                <w:rFonts w:ascii="Google Sans Text;sans-serif" w:hAnsi="Google Sans Text;sans-serif"/>
                <w:b/>
              </w:rPr>
              <w:t>Throughput Target</w:t>
            </w:r>
          </w:p>
        </w:tc>
        <w:tc>
          <w:tcPr>
            <w:tcW w:w="3690" w:type="dxa"/>
            <w:tcBorders>
              <w:top w:val="single" w:sz="2" w:space="0" w:color="C4C7C5"/>
              <w:left w:val="single" w:sz="2" w:space="0" w:color="C4C7C5"/>
              <w:bottom w:val="single" w:sz="2" w:space="0" w:color="C4C7C5"/>
              <w:right w:val="single" w:sz="2" w:space="0" w:color="C4C7C5"/>
            </w:tcBorders>
            <w:vAlign w:val="center"/>
          </w:tcPr>
          <w:p>
            <w:pPr>
              <w:pStyle w:val="TableContents"/>
              <w:bidi w:val="0"/>
              <w:spacing w:lineRule="auto" w:line="273" w:before="0" w:after="140"/>
              <w:ind w:hanging="0" w:left="0" w:right="0"/>
              <w:jc w:val="left"/>
              <w:rPr>
                <w:rFonts w:ascii="Google Sans Text;sans-serif" w:hAnsi="Google Sans Text;sans-serif"/>
              </w:rPr>
            </w:pPr>
            <w:r>
              <w:rPr>
                <w:rFonts w:ascii="Google Sans Text;sans-serif" w:hAnsi="Google Sans Text;sans-serif"/>
              </w:rPr>
              <w:t>Very High ($10^6+$ msg/sec via sequential disk I/O &amp; page cache)</w:t>
            </w:r>
          </w:p>
        </w:tc>
        <w:tc>
          <w:tcPr>
            <w:tcW w:w="3853" w:type="dxa"/>
            <w:tcBorders>
              <w:top w:val="single" w:sz="2" w:space="0" w:color="C4C7C5"/>
              <w:left w:val="single" w:sz="2" w:space="0" w:color="C4C7C5"/>
              <w:bottom w:val="single" w:sz="2" w:space="0" w:color="C4C7C5"/>
              <w:right w:val="single" w:sz="2" w:space="0" w:color="C4C7C5"/>
            </w:tcBorders>
            <w:vAlign w:val="center"/>
          </w:tcPr>
          <w:p>
            <w:pPr>
              <w:pStyle w:val="TableContents"/>
              <w:bidi w:val="0"/>
              <w:spacing w:lineRule="auto" w:line="273" w:before="0" w:after="140"/>
              <w:ind w:hanging="0" w:left="0" w:right="0"/>
              <w:jc w:val="left"/>
              <w:rPr>
                <w:rFonts w:ascii="Google Sans Text;sans-serif" w:hAnsi="Google Sans Text;sans-serif"/>
              </w:rPr>
            </w:pPr>
            <w:r>
              <w:rPr>
                <w:rFonts w:ascii="Google Sans Text;sans-serif" w:hAnsi="Google Sans Text;sans-serif"/>
              </w:rPr>
              <w:t>Moderate to High ($10^4 - 10^5$ msg/sec)</w:t>
            </w:r>
          </w:p>
        </w:tc>
      </w:tr>
      <w:tr>
        <w:trPr/>
        <w:tc>
          <w:tcPr>
            <w:tcW w:w="2095" w:type="dxa"/>
            <w:tcBorders>
              <w:top w:val="single" w:sz="2" w:space="0" w:color="C4C7C5"/>
              <w:left w:val="single" w:sz="2" w:space="0" w:color="C4C7C5"/>
              <w:bottom w:val="single" w:sz="2" w:space="0" w:color="C4C7C5"/>
              <w:right w:val="single" w:sz="2" w:space="0" w:color="C4C7C5"/>
            </w:tcBorders>
            <w:vAlign w:val="center"/>
          </w:tcPr>
          <w:p>
            <w:pPr>
              <w:pStyle w:val="TableContents"/>
              <w:bidi w:val="0"/>
              <w:spacing w:lineRule="auto" w:line="273" w:before="0" w:after="140"/>
              <w:ind w:hanging="0" w:left="0" w:right="0"/>
              <w:jc w:val="left"/>
              <w:rPr>
                <w:rFonts w:ascii="Google Sans Text;sans-serif" w:hAnsi="Google Sans Text;sans-serif"/>
                <w:b/>
              </w:rPr>
            </w:pPr>
            <w:r>
              <w:rPr>
                <w:rFonts w:ascii="Google Sans Text;sans-serif" w:hAnsi="Google Sans Text;sans-serif"/>
                <w:b/>
              </w:rPr>
              <w:t>Message Ordering</w:t>
            </w:r>
          </w:p>
        </w:tc>
        <w:tc>
          <w:tcPr>
            <w:tcW w:w="3690" w:type="dxa"/>
            <w:tcBorders>
              <w:top w:val="single" w:sz="2" w:space="0" w:color="C4C7C5"/>
              <w:left w:val="single" w:sz="2" w:space="0" w:color="C4C7C5"/>
              <w:bottom w:val="single" w:sz="2" w:space="0" w:color="C4C7C5"/>
              <w:right w:val="single" w:sz="2" w:space="0" w:color="C4C7C5"/>
            </w:tcBorders>
            <w:vAlign w:val="center"/>
          </w:tcPr>
          <w:p>
            <w:pPr>
              <w:pStyle w:val="TableContents"/>
              <w:bidi w:val="0"/>
              <w:spacing w:lineRule="auto" w:line="273" w:before="0" w:after="140"/>
              <w:ind w:hanging="0" w:left="0" w:right="0"/>
              <w:jc w:val="left"/>
              <w:rPr>
                <w:rFonts w:ascii="Google Sans Text;sans-serif" w:hAnsi="Google Sans Text;sans-serif"/>
              </w:rPr>
            </w:pPr>
            <w:r>
              <w:rPr>
                <w:rFonts w:ascii="Google Sans Text;sans-serif" w:hAnsi="Google Sans Text;sans-serif"/>
              </w:rPr>
              <w:t xml:space="preserve">Strict </w:t>
            </w:r>
            <w:r>
              <w:rPr>
                <w:rFonts w:ascii="Google Sans Text;sans-serif" w:hAnsi="Google Sans Text;sans-serif"/>
                <w:b/>
              </w:rPr>
              <w:t>per-partition</w:t>
            </w:r>
            <w:r>
              <w:rPr>
                <w:rFonts w:ascii="Google Sans Text;sans-serif" w:hAnsi="Google Sans Text;sans-serif"/>
              </w:rPr>
              <w:t xml:space="preserve"> ordering via message key hashing</w:t>
            </w:r>
          </w:p>
        </w:tc>
        <w:tc>
          <w:tcPr>
            <w:tcW w:w="3853" w:type="dxa"/>
            <w:tcBorders>
              <w:top w:val="single" w:sz="2" w:space="0" w:color="C4C7C5"/>
              <w:left w:val="single" w:sz="2" w:space="0" w:color="C4C7C5"/>
              <w:bottom w:val="single" w:sz="2" w:space="0" w:color="C4C7C5"/>
              <w:right w:val="single" w:sz="2" w:space="0" w:color="C4C7C5"/>
            </w:tcBorders>
            <w:vAlign w:val="center"/>
          </w:tcPr>
          <w:p>
            <w:pPr>
              <w:pStyle w:val="TableContents"/>
              <w:bidi w:val="0"/>
              <w:spacing w:lineRule="auto" w:line="273" w:before="0" w:after="140"/>
              <w:ind w:hanging="0" w:left="0" w:right="0"/>
              <w:jc w:val="left"/>
              <w:rPr>
                <w:rFonts w:ascii="Google Sans Text;sans-serif" w:hAnsi="Google Sans Text;sans-serif"/>
              </w:rPr>
            </w:pPr>
            <w:r>
              <w:rPr>
                <w:rFonts w:ascii="Google Sans Text;sans-serif" w:hAnsi="Google Sans Text;sans-serif"/>
              </w:rPr>
              <w:t xml:space="preserve">Strict </w:t>
            </w:r>
            <w:r>
              <w:rPr>
                <w:rFonts w:ascii="Google Sans Text;sans-serif" w:hAnsi="Google Sans Text;sans-serif"/>
                <w:b/>
              </w:rPr>
              <w:t>per-queue</w:t>
            </w:r>
            <w:r>
              <w:rPr>
                <w:rFonts w:ascii="Google Sans Text;sans-serif" w:hAnsi="Google Sans Text;sans-serif"/>
              </w:rPr>
              <w:t xml:space="preserve"> FIFO ordering</w:t>
            </w:r>
          </w:p>
        </w:tc>
      </w:tr>
      <w:tr>
        <w:trPr/>
        <w:tc>
          <w:tcPr>
            <w:tcW w:w="2095" w:type="dxa"/>
            <w:tcBorders>
              <w:top w:val="single" w:sz="2" w:space="0" w:color="C4C7C5"/>
              <w:left w:val="single" w:sz="2" w:space="0" w:color="C4C7C5"/>
              <w:bottom w:val="single" w:sz="2" w:space="0" w:color="C4C7C5"/>
              <w:right w:val="single" w:sz="2" w:space="0" w:color="C4C7C5"/>
            </w:tcBorders>
            <w:vAlign w:val="center"/>
          </w:tcPr>
          <w:p>
            <w:pPr>
              <w:pStyle w:val="TableContents"/>
              <w:bidi w:val="0"/>
              <w:spacing w:lineRule="auto" w:line="273" w:before="0" w:after="140"/>
              <w:ind w:hanging="0" w:left="0" w:right="0"/>
              <w:jc w:val="left"/>
              <w:rPr>
                <w:rFonts w:ascii="Google Sans Text;sans-serif" w:hAnsi="Google Sans Text;sans-serif"/>
                <w:b/>
              </w:rPr>
            </w:pPr>
            <w:r>
              <w:rPr>
                <w:rFonts w:ascii="Google Sans Text;sans-serif" w:hAnsi="Google Sans Text;sans-serif"/>
                <w:b/>
              </w:rPr>
              <w:t>Routing Capabilities</w:t>
            </w:r>
          </w:p>
        </w:tc>
        <w:tc>
          <w:tcPr>
            <w:tcW w:w="3690" w:type="dxa"/>
            <w:tcBorders>
              <w:top w:val="single" w:sz="2" w:space="0" w:color="C4C7C5"/>
              <w:left w:val="single" w:sz="2" w:space="0" w:color="C4C7C5"/>
              <w:bottom w:val="single" w:sz="2" w:space="0" w:color="C4C7C5"/>
              <w:right w:val="single" w:sz="2" w:space="0" w:color="C4C7C5"/>
            </w:tcBorders>
            <w:vAlign w:val="center"/>
          </w:tcPr>
          <w:p>
            <w:pPr>
              <w:pStyle w:val="TableContents"/>
              <w:bidi w:val="0"/>
              <w:spacing w:lineRule="auto" w:line="273" w:before="0" w:after="140"/>
              <w:ind w:hanging="0" w:left="0" w:right="0"/>
              <w:jc w:val="left"/>
              <w:rPr>
                <w:rFonts w:ascii="Google Sans Text;sans-serif" w:hAnsi="Google Sans Text;sans-serif"/>
              </w:rPr>
            </w:pPr>
            <w:r>
              <w:rPr>
                <w:rFonts w:ascii="Google Sans Text;sans-serif" w:hAnsi="Google Sans Text;sans-serif"/>
              </w:rPr>
              <w:t>Basic partition key routing; advanced filtering via Kafka Streams</w:t>
            </w:r>
          </w:p>
        </w:tc>
        <w:tc>
          <w:tcPr>
            <w:tcW w:w="3853" w:type="dxa"/>
            <w:tcBorders>
              <w:top w:val="single" w:sz="2" w:space="0" w:color="C4C7C5"/>
              <w:left w:val="single" w:sz="2" w:space="0" w:color="C4C7C5"/>
              <w:bottom w:val="single" w:sz="2" w:space="0" w:color="C4C7C5"/>
              <w:right w:val="single" w:sz="2" w:space="0" w:color="C4C7C5"/>
            </w:tcBorders>
            <w:vAlign w:val="center"/>
          </w:tcPr>
          <w:p>
            <w:pPr>
              <w:pStyle w:val="TableContents"/>
              <w:bidi w:val="0"/>
              <w:spacing w:lineRule="auto" w:line="273" w:before="0" w:after="140"/>
              <w:ind w:hanging="0" w:left="0" w:right="0"/>
              <w:jc w:val="left"/>
              <w:rPr>
                <w:rFonts w:ascii="Google Sans Text;sans-serif" w:hAnsi="Google Sans Text;sans-serif"/>
              </w:rPr>
            </w:pPr>
            <w:r>
              <w:rPr>
                <w:rFonts w:ascii="Google Sans Text;sans-serif" w:hAnsi="Google Sans Text;sans-serif"/>
              </w:rPr>
              <w:t>Complex routing topologies (Direct, Fanout, Topic, Headers)</w:t>
            </w:r>
          </w:p>
        </w:tc>
      </w:tr>
      <w:tr>
        <w:trPr/>
        <w:tc>
          <w:tcPr>
            <w:tcW w:w="2095" w:type="dxa"/>
            <w:tcBorders>
              <w:top w:val="single" w:sz="2" w:space="0" w:color="C4C7C5"/>
              <w:left w:val="single" w:sz="2" w:space="0" w:color="C4C7C5"/>
              <w:bottom w:val="single" w:sz="2" w:space="0" w:color="C4C7C5"/>
              <w:right w:val="single" w:sz="2" w:space="0" w:color="C4C7C5"/>
            </w:tcBorders>
            <w:vAlign w:val="center"/>
          </w:tcPr>
          <w:p>
            <w:pPr>
              <w:pStyle w:val="TableContents"/>
              <w:bidi w:val="0"/>
              <w:spacing w:lineRule="auto" w:line="273" w:before="0" w:after="140"/>
              <w:ind w:hanging="0" w:left="0" w:right="0"/>
              <w:jc w:val="left"/>
              <w:rPr>
                <w:rFonts w:ascii="Google Sans Text;sans-serif" w:hAnsi="Google Sans Text;sans-serif"/>
                <w:b/>
              </w:rPr>
            </w:pPr>
            <w:r>
              <w:rPr>
                <w:rFonts w:ascii="Google Sans Text;sans-serif" w:hAnsi="Google Sans Text;sans-serif"/>
                <w:b/>
              </w:rPr>
              <w:t>Message Replay</w:t>
            </w:r>
          </w:p>
        </w:tc>
        <w:tc>
          <w:tcPr>
            <w:tcW w:w="3690" w:type="dxa"/>
            <w:tcBorders>
              <w:top w:val="single" w:sz="2" w:space="0" w:color="C4C7C5"/>
              <w:left w:val="single" w:sz="2" w:space="0" w:color="C4C7C5"/>
              <w:bottom w:val="single" w:sz="2" w:space="0" w:color="C4C7C5"/>
              <w:right w:val="single" w:sz="2" w:space="0" w:color="C4C7C5"/>
            </w:tcBorders>
            <w:vAlign w:val="center"/>
          </w:tcPr>
          <w:p>
            <w:pPr>
              <w:pStyle w:val="TableContents"/>
              <w:bidi w:val="0"/>
              <w:spacing w:lineRule="auto" w:line="273" w:before="0" w:after="140"/>
              <w:ind w:hanging="0" w:left="0" w:right="0"/>
              <w:jc w:val="left"/>
              <w:rPr>
                <w:rFonts w:ascii="Google Sans Text;sans-serif" w:hAnsi="Google Sans Text;sans-serif"/>
              </w:rPr>
            </w:pPr>
            <w:r>
              <w:rPr>
                <w:rFonts w:ascii="Google Sans Text;sans-serif" w:hAnsi="Google Sans Text;sans-serif"/>
                <w:b/>
              </w:rPr>
              <w:t>Native</w:t>
            </w:r>
            <w:r>
              <w:rPr>
                <w:rFonts w:ascii="Google Sans Text;sans-serif" w:hAnsi="Google Sans Text;sans-serif"/>
              </w:rPr>
              <w:t xml:space="preserve"> (Consumers can re-wind offsets to re-read historical log)</w:t>
            </w:r>
          </w:p>
        </w:tc>
        <w:tc>
          <w:tcPr>
            <w:tcW w:w="3853" w:type="dxa"/>
            <w:tcBorders>
              <w:top w:val="single" w:sz="2" w:space="0" w:color="C4C7C5"/>
              <w:left w:val="single" w:sz="2" w:space="0" w:color="C4C7C5"/>
              <w:bottom w:val="single" w:sz="2" w:space="0" w:color="C4C7C5"/>
              <w:right w:val="single" w:sz="2" w:space="0" w:color="C4C7C5"/>
            </w:tcBorders>
            <w:vAlign w:val="center"/>
          </w:tcPr>
          <w:p>
            <w:pPr>
              <w:pStyle w:val="TableContents"/>
              <w:bidi w:val="0"/>
              <w:spacing w:lineRule="auto" w:line="273" w:before="0" w:after="140"/>
              <w:ind w:hanging="0" w:left="0" w:right="0"/>
              <w:jc w:val="left"/>
              <w:rPr>
                <w:rFonts w:ascii="Google Sans Text;sans-serif" w:hAnsi="Google Sans Text;sans-serif"/>
              </w:rPr>
            </w:pPr>
            <w:r>
              <w:rPr>
                <w:rFonts w:ascii="Google Sans Text;sans-serif" w:hAnsi="Google Sans Text;sans-serif"/>
                <w:b/>
              </w:rPr>
              <w:t>Non-native</w:t>
            </w:r>
            <w:r>
              <w:rPr>
                <w:rFonts w:ascii="Google Sans Text;sans-serif" w:hAnsi="Google Sans Text;sans-serif"/>
              </w:rPr>
              <w:t xml:space="preserve"> (Requires dead-letter/replay plugins or custom state)</w:t>
            </w:r>
          </w:p>
        </w:tc>
      </w:tr>
      <w:tr>
        <w:trPr/>
        <w:tc>
          <w:tcPr>
            <w:tcW w:w="2095" w:type="dxa"/>
            <w:tcBorders>
              <w:top w:val="single" w:sz="2" w:space="0" w:color="C4C7C5"/>
              <w:left w:val="single" w:sz="2" w:space="0" w:color="C4C7C5"/>
              <w:bottom w:val="single" w:sz="2" w:space="0" w:color="C4C7C5"/>
              <w:right w:val="single" w:sz="2" w:space="0" w:color="C4C7C5"/>
            </w:tcBorders>
            <w:vAlign w:val="center"/>
          </w:tcPr>
          <w:p>
            <w:pPr>
              <w:pStyle w:val="TableContents"/>
              <w:bidi w:val="0"/>
              <w:spacing w:lineRule="auto" w:line="273" w:before="0" w:after="140"/>
              <w:ind w:hanging="0" w:left="0" w:right="0"/>
              <w:jc w:val="left"/>
              <w:rPr>
                <w:rFonts w:ascii="Google Sans Text;sans-serif" w:hAnsi="Google Sans Text;sans-serif"/>
                <w:b/>
              </w:rPr>
            </w:pPr>
            <w:r>
              <w:rPr>
                <w:rFonts w:ascii="Google Sans Text;sans-serif" w:hAnsi="Google Sans Text;sans-serif"/>
                <w:b/>
              </w:rPr>
              <w:t>State Responsibility</w:t>
            </w:r>
          </w:p>
        </w:tc>
        <w:tc>
          <w:tcPr>
            <w:tcW w:w="3690" w:type="dxa"/>
            <w:tcBorders>
              <w:top w:val="single" w:sz="2" w:space="0" w:color="C4C7C5"/>
              <w:left w:val="single" w:sz="2" w:space="0" w:color="C4C7C5"/>
              <w:bottom w:val="single" w:sz="2" w:space="0" w:color="C4C7C5"/>
              <w:right w:val="single" w:sz="2" w:space="0" w:color="C4C7C5"/>
            </w:tcBorders>
            <w:vAlign w:val="center"/>
          </w:tcPr>
          <w:p>
            <w:pPr>
              <w:pStyle w:val="TableContents"/>
              <w:bidi w:val="0"/>
              <w:spacing w:lineRule="auto" w:line="273" w:before="0" w:after="140"/>
              <w:ind w:hanging="0" w:left="0" w:right="0"/>
              <w:jc w:val="left"/>
              <w:rPr>
                <w:rFonts w:ascii="Google Sans Text;sans-serif" w:hAnsi="Google Sans Text;sans-serif"/>
              </w:rPr>
            </w:pPr>
            <w:r>
              <w:rPr>
                <w:rFonts w:ascii="Google Sans Text;sans-serif" w:hAnsi="Google Sans Text;sans-serif"/>
                <w:b/>
              </w:rPr>
              <w:t>Dumb broker, smart consumer</w:t>
            </w:r>
            <w:r>
              <w:rPr>
                <w:rFonts w:ascii="Google Sans Text;sans-serif" w:hAnsi="Google Sans Text;sans-serif"/>
              </w:rPr>
              <w:t xml:space="preserve"> (Consumer tracks offset)</w:t>
            </w:r>
          </w:p>
        </w:tc>
        <w:tc>
          <w:tcPr>
            <w:tcW w:w="3853" w:type="dxa"/>
            <w:tcBorders>
              <w:top w:val="single" w:sz="2" w:space="0" w:color="C4C7C5"/>
              <w:left w:val="single" w:sz="2" w:space="0" w:color="C4C7C5"/>
              <w:bottom w:val="single" w:sz="2" w:space="0" w:color="C4C7C5"/>
              <w:right w:val="single" w:sz="2" w:space="0" w:color="C4C7C5"/>
            </w:tcBorders>
            <w:vAlign w:val="center"/>
          </w:tcPr>
          <w:p>
            <w:pPr>
              <w:pStyle w:val="TableContents"/>
              <w:bidi w:val="0"/>
              <w:spacing w:lineRule="auto" w:line="273" w:before="0" w:after="140"/>
              <w:ind w:hanging="0" w:left="0" w:right="0"/>
              <w:jc w:val="left"/>
              <w:rPr>
                <w:rFonts w:ascii="Google Sans Text;sans-serif" w:hAnsi="Google Sans Text;sans-serif"/>
              </w:rPr>
            </w:pPr>
            <w:r>
              <w:rPr>
                <w:rFonts w:ascii="Google Sans Text;sans-serif" w:hAnsi="Google Sans Text;sans-serif"/>
                <w:b/>
              </w:rPr>
              <w:t>Smart broker, dumb consumer</w:t>
            </w:r>
            <w:r>
              <w:rPr>
                <w:rFonts w:ascii="Google Sans Text;sans-serif" w:hAnsi="Google Sans Text;sans-serif"/>
              </w:rPr>
              <w:t xml:space="preserve"> (Broker tracks msg state &amp; ACK)</w:t>
            </w:r>
          </w:p>
        </w:tc>
      </w:tr>
    </w:tbl>
    <w:p>
      <w:pPr>
        <w:pStyle w:val="Heading3"/>
        <w:bidi w:val="0"/>
        <w:spacing w:lineRule="auto" w:line="273" w:before="0" w:after="140"/>
        <w:ind w:hanging="0" w:left="0" w:right="0"/>
        <w:jc w:val="left"/>
        <w:rPr>
          <w:rFonts w:ascii="Google Sans;sans-serif" w:hAnsi="Google Sans;sans-serif"/>
        </w:rPr>
      </w:pPr>
      <w:r>
        <w:rPr>
          <w:rFonts w:ascii="Google Sans;sans-serif" w:hAnsi="Google Sans;sans-serif"/>
        </w:rPr>
        <w:t>Core Architectural Differentiators</w:t>
      </w:r>
    </w:p>
    <w:p>
      <w:pPr>
        <w:pStyle w:val="BodyText"/>
        <w:bidi w:val="0"/>
        <w:spacing w:lineRule="auto" w:line="273" w:before="0" w:after="140"/>
        <w:ind w:hanging="0" w:left="0" w:right="0"/>
        <w:jc w:val="left"/>
        <w:rPr>
          <w:rFonts w:ascii="Google Sans Text;sans-serif" w:hAnsi="Google Sans Text;sans-serif"/>
          <w:b/>
        </w:rPr>
      </w:pPr>
      <w:r>
        <w:rPr>
          <w:rFonts w:ascii="Google Sans Text;sans-serif" w:hAnsi="Google Sans Text;sans-serif"/>
          <w:b/>
        </w:rPr>
        <w:t>1. Persistence vs. Ephemerality</w:t>
      </w:r>
    </w:p>
    <w:p>
      <w:pPr>
        <w:pStyle w:val="BodyText"/>
        <w:numPr>
          <w:ilvl w:val="0"/>
          <w:numId w:val="1"/>
        </w:numPr>
        <w:pBdr/>
        <w:tabs>
          <w:tab w:val="clear" w:pos="709"/>
          <w:tab w:val="left" w:pos="709" w:leader="none"/>
        </w:tabs>
        <w:bidi w:val="0"/>
        <w:spacing w:lineRule="auto" w:line="273" w:before="0" w:after="140"/>
        <w:ind w:hanging="283" w:left="709" w:right="0"/>
        <w:jc w:val="left"/>
        <w:rPr>
          <w:rFonts w:ascii="Google Sans Text;sans-serif" w:hAnsi="Google Sans Text;sans-serif"/>
        </w:rPr>
      </w:pPr>
      <w:r>
        <w:rPr>
          <w:rFonts w:ascii="Google Sans Text;sans-serif" w:hAnsi="Google Sans Text;sans-serif"/>
          <w:b/>
        </w:rPr>
        <w:t>Kafka</w:t>
      </w:r>
      <w:r>
        <w:rPr>
          <w:rFonts w:ascii="Google Sans Text;sans-serif" w:hAnsi="Google Sans Text;sans-serif"/>
        </w:rPr>
        <w:t xml:space="preserve"> treats messages as an immutable, durable stream of state changes. Records persist on disk according to topic retention rules regardless of whether they have been consumed, allowing multiple independent consumer groups to process identical data streams asynchronously or replay historical events.</w:t>
      </w:r>
    </w:p>
    <w:p>
      <w:pPr>
        <w:pStyle w:val="BodyText"/>
        <w:numPr>
          <w:ilvl w:val="0"/>
          <w:numId w:val="1"/>
        </w:numPr>
        <w:pBdr/>
        <w:tabs>
          <w:tab w:val="clear" w:pos="709"/>
          <w:tab w:val="left" w:pos="709" w:leader="none"/>
        </w:tabs>
        <w:bidi w:val="0"/>
        <w:spacing w:lineRule="auto" w:line="273" w:before="0" w:after="140"/>
        <w:ind w:hanging="283" w:left="709" w:right="0"/>
        <w:jc w:val="left"/>
        <w:rPr/>
      </w:pPr>
      <w:r>
        <w:rPr>
          <w:rFonts w:ascii="Google Sans Text;sans-serif" w:hAnsi="Google Sans Text;sans-serif"/>
          <w:b/>
        </w:rPr>
        <w:t>RabbitMQ</w:t>
      </w:r>
      <w:r>
        <w:rPr>
          <w:rFonts w:ascii="Google Sans Text;sans-serif" w:hAnsi="Google Sans Text;sans-serif"/>
        </w:rPr>
        <w:t xml:space="preserve"> treats messages as transient tasks. The broker's primary job is to deliver messages to active consumers and delete them from memory/disk immediately upon receiving consumer acknowledgments (</w:t>
      </w:r>
      <w:r>
        <w:rPr>
          <w:rStyle w:val="SourceText"/>
          <w:rFonts w:ascii="Google Sans Text;sans-serif" w:hAnsi="Google Sans Text;sans-serif"/>
        </w:rPr>
        <w:t>ACK</w:t>
      </w:r>
      <w:r>
        <w:rPr>
          <w:rFonts w:ascii="Google Sans Text;sans-serif" w:hAnsi="Google Sans Text;sans-serif"/>
        </w:rPr>
        <w:t>).</w:t>
      </w:r>
    </w:p>
    <w:p>
      <w:pPr>
        <w:pStyle w:val="BodyText"/>
        <w:bidi w:val="0"/>
        <w:spacing w:lineRule="auto" w:line="273" w:before="0" w:after="140"/>
        <w:ind w:hanging="0" w:left="0" w:right="0"/>
        <w:jc w:val="left"/>
        <w:rPr>
          <w:rFonts w:ascii="Google Sans Text;sans-serif" w:hAnsi="Google Sans Text;sans-serif"/>
          <w:b/>
        </w:rPr>
      </w:pPr>
      <w:r>
        <w:rPr>
          <w:rFonts w:ascii="Google Sans Text;sans-serif" w:hAnsi="Google Sans Text;sans-serif"/>
          <w:b/>
        </w:rPr>
        <w:t>2. Routing Topology &amp; Flexibility</w:t>
      </w:r>
    </w:p>
    <w:p>
      <w:pPr>
        <w:pStyle w:val="BodyText"/>
        <w:numPr>
          <w:ilvl w:val="0"/>
          <w:numId w:val="2"/>
        </w:numPr>
        <w:pBdr/>
        <w:tabs>
          <w:tab w:val="clear" w:pos="709"/>
          <w:tab w:val="left" w:pos="709" w:leader="none"/>
        </w:tabs>
        <w:bidi w:val="0"/>
        <w:spacing w:lineRule="auto" w:line="273" w:before="0" w:after="140"/>
        <w:ind w:hanging="283" w:left="709" w:right="0"/>
        <w:jc w:val="left"/>
        <w:rPr>
          <w:rFonts w:ascii="Google Sans Text;sans-serif" w:hAnsi="Google Sans Text;sans-serif"/>
        </w:rPr>
      </w:pPr>
      <w:r>
        <w:rPr>
          <w:rFonts w:ascii="Google Sans Text;sans-serif" w:hAnsi="Google Sans Text;sans-serif"/>
          <w:b/>
        </w:rPr>
        <w:t>RabbitMQ</w:t>
      </w:r>
      <w:r>
        <w:rPr>
          <w:rFonts w:ascii="Google Sans Text;sans-serif" w:hAnsi="Google Sans Text;sans-serif"/>
        </w:rPr>
        <w:t xml:space="preserve"> excels at fine-grained, complex routing rules. Publishers push messages to </w:t>
      </w:r>
      <w:r>
        <w:rPr>
          <w:rFonts w:ascii="Google Sans Text;sans-serif" w:hAnsi="Google Sans Text;sans-serif"/>
          <w:b/>
        </w:rPr>
        <w:t>Exchanges</w:t>
      </w:r>
      <w:r>
        <w:rPr>
          <w:rFonts w:ascii="Google Sans Text;sans-serif" w:hAnsi="Google Sans Text;sans-serif"/>
        </w:rPr>
        <w:t>, which evaluate headers, binding keys, or fanout rules to route messages into targeted queues.</w:t>
      </w:r>
    </w:p>
    <w:p>
      <w:pPr>
        <w:pStyle w:val="BodyText"/>
        <w:numPr>
          <w:ilvl w:val="0"/>
          <w:numId w:val="2"/>
        </w:numPr>
        <w:pBdr/>
        <w:tabs>
          <w:tab w:val="clear" w:pos="709"/>
          <w:tab w:val="left" w:pos="709" w:leader="none"/>
        </w:tabs>
        <w:bidi w:val="0"/>
        <w:spacing w:lineRule="auto" w:line="273" w:before="0" w:after="140"/>
        <w:ind w:hanging="283" w:left="709" w:right="0"/>
        <w:jc w:val="left"/>
        <w:rPr>
          <w:rFonts w:ascii="Google Sans Text;sans-serif" w:hAnsi="Google Sans Text;sans-serif"/>
        </w:rPr>
      </w:pPr>
      <w:r>
        <w:rPr>
          <w:rFonts w:ascii="Google Sans Text;sans-serif" w:hAnsi="Google Sans Text;sans-serif"/>
          <w:b/>
        </w:rPr>
        <w:t>Kafka</w:t>
      </w:r>
      <w:r>
        <w:rPr>
          <w:rFonts w:ascii="Google Sans Text;sans-serif" w:hAnsi="Google Sans Text;sans-serif"/>
        </w:rPr>
        <w:t xml:space="preserve"> relies on static partition assignment. Publishers calculate partition targets via key hashing ($\text{hash}(\text{key}) \pmod{\text{partitions}}$), shifting complex processing and stream filtering to downstream consumer applications.</w:t>
      </w:r>
    </w:p>
    <w:p>
      <w:pPr>
        <w:pStyle w:val="BodyText"/>
        <w:bidi w:val="0"/>
        <w:spacing w:lineRule="auto" w:line="273" w:before="0" w:after="140"/>
        <w:ind w:hanging="0" w:left="0" w:right="0"/>
        <w:jc w:val="left"/>
        <w:rPr>
          <w:rFonts w:ascii="Google Sans Text;sans-serif" w:hAnsi="Google Sans Text;sans-serif"/>
          <w:b/>
        </w:rPr>
      </w:pPr>
      <w:r>
        <w:rPr>
          <w:rFonts w:ascii="Google Sans Text;sans-serif" w:hAnsi="Google Sans Text;sans-serif"/>
          <w:b/>
        </w:rPr>
        <w:t>3. Scaling &amp; Ordering Dynamics</w:t>
      </w:r>
    </w:p>
    <w:p>
      <w:pPr>
        <w:pStyle w:val="BodyText"/>
        <w:numPr>
          <w:ilvl w:val="0"/>
          <w:numId w:val="3"/>
        </w:numPr>
        <w:pBdr/>
        <w:tabs>
          <w:tab w:val="clear" w:pos="709"/>
          <w:tab w:val="left" w:pos="709" w:leader="none"/>
        </w:tabs>
        <w:bidi w:val="0"/>
        <w:spacing w:lineRule="auto" w:line="273" w:before="0" w:after="140"/>
        <w:ind w:hanging="283" w:left="709" w:right="0"/>
        <w:jc w:val="left"/>
        <w:rPr>
          <w:rFonts w:ascii="Google Sans Text;sans-serif" w:hAnsi="Google Sans Text;sans-serif"/>
        </w:rPr>
      </w:pPr>
      <w:r>
        <w:rPr>
          <w:rFonts w:ascii="Google Sans Text;sans-serif" w:hAnsi="Google Sans Text;sans-serif"/>
          <w:b/>
        </w:rPr>
        <w:t>Kafka</w:t>
      </w:r>
      <w:r>
        <w:rPr>
          <w:rFonts w:ascii="Google Sans Text;sans-serif" w:hAnsi="Google Sans Text;sans-serif"/>
        </w:rPr>
        <w:t xml:space="preserve"> achieves horizontal scale out by spreading topic partitions across cluster nodes. Increasing consumer group parallelism is limited only by partition count ($1:1$ partition-to-consumer worker assignment).</w:t>
      </w:r>
    </w:p>
    <w:p>
      <w:pPr>
        <w:pStyle w:val="BodyText"/>
        <w:numPr>
          <w:ilvl w:val="0"/>
          <w:numId w:val="3"/>
        </w:numPr>
        <w:pBdr/>
        <w:tabs>
          <w:tab w:val="clear" w:pos="709"/>
          <w:tab w:val="left" w:pos="709" w:leader="none"/>
        </w:tabs>
        <w:bidi w:val="0"/>
        <w:spacing w:lineRule="auto" w:line="273" w:before="0" w:after="140"/>
        <w:ind w:hanging="283" w:left="709" w:right="0"/>
        <w:jc w:val="left"/>
        <w:rPr>
          <w:rFonts w:ascii="Google Sans Text;sans-serif" w:hAnsi="Google Sans Text;sans-serif"/>
        </w:rPr>
      </w:pPr>
      <w:r>
        <w:rPr>
          <w:rFonts w:ascii="Google Sans Text;sans-serif" w:hAnsi="Google Sans Text;sans-serif"/>
          <w:b/>
        </w:rPr>
        <w:t>RabbitMQ</w:t>
      </w:r>
      <w:r>
        <w:rPr>
          <w:rFonts w:ascii="Google Sans Text;sans-serif" w:hAnsi="Google Sans Text;sans-serif"/>
        </w:rPr>
        <w:t xml:space="preserve"> scales horizontally via node clustering and queue replication, but a single queue's throughput is bound to a single node CPU process to maintain FIFO order.</w:t>
      </w:r>
    </w:p>
    <w:p>
      <w:pPr>
        <w:pStyle w:val="Heading3"/>
        <w:bidi w:val="0"/>
        <w:spacing w:lineRule="auto" w:line="273" w:before="0" w:after="140"/>
        <w:ind w:hanging="0" w:left="0" w:right="0"/>
        <w:jc w:val="left"/>
        <w:rPr>
          <w:rFonts w:ascii="Google Sans;sans-serif" w:hAnsi="Google Sans;sans-serif"/>
        </w:rPr>
      </w:pPr>
      <w:r>
        <w:rPr>
          <w:rFonts w:ascii="Google Sans;sans-serif" w:hAnsi="Google Sans;sans-serif"/>
        </w:rPr>
        <w:t>Selection Guidelines</w:t>
      </w:r>
    </w:p>
    <w:p>
      <w:pPr>
        <w:pStyle w:val="BodyText"/>
        <w:numPr>
          <w:ilvl w:val="0"/>
          <w:numId w:val="4"/>
        </w:numPr>
        <w:pBdr/>
        <w:tabs>
          <w:tab w:val="clear" w:pos="709"/>
          <w:tab w:val="left" w:pos="709" w:leader="none"/>
        </w:tabs>
        <w:bidi w:val="0"/>
        <w:spacing w:lineRule="auto" w:line="273" w:before="0" w:after="140"/>
        <w:ind w:hanging="283" w:left="709" w:right="0"/>
        <w:jc w:val="left"/>
        <w:rPr>
          <w:rFonts w:ascii="Google Sans Text;sans-serif" w:hAnsi="Google Sans Text;sans-serif"/>
        </w:rPr>
      </w:pPr>
      <w:r>
        <w:rPr>
          <w:rFonts w:ascii="Google Sans Text;sans-serif" w:hAnsi="Google Sans Text;sans-serif"/>
          <w:b/>
        </w:rPr>
        <w:t>Choose Apache Kafka when:</w:t>
      </w:r>
      <w:r>
        <w:rPr>
          <w:rFonts w:ascii="Google Sans Text;sans-serif" w:hAnsi="Google Sans Text;sans-serif"/>
        </w:rPr>
        <w:t xml:space="preserve"> Building event-driven microservices, real-time analytics pipelines, event sourcing systems, CDC (Change Data Capture) streams, or scenarios requiring message replayability and high throughput.</w:t>
      </w:r>
    </w:p>
    <w:p>
      <w:pPr>
        <w:pStyle w:val="BodyText"/>
        <w:numPr>
          <w:ilvl w:val="0"/>
          <w:numId w:val="4"/>
        </w:numPr>
        <w:pBdr/>
        <w:tabs>
          <w:tab w:val="clear" w:pos="709"/>
          <w:tab w:val="left" w:pos="709" w:leader="none"/>
        </w:tabs>
        <w:bidi w:val="0"/>
        <w:spacing w:lineRule="auto" w:line="273" w:before="0" w:after="140"/>
        <w:ind w:hanging="283" w:left="709" w:right="0"/>
        <w:jc w:val="left"/>
        <w:rPr>
          <w:rFonts w:ascii="Google Sans Text;sans-serif" w:hAnsi="Google Sans Text;sans-serif"/>
        </w:rPr>
      </w:pPr>
      <w:r>
        <w:rPr>
          <w:rFonts w:ascii="Google Sans Text;sans-serif" w:hAnsi="Google Sans Text;sans-serif"/>
          <w:b/>
        </w:rPr>
        <w:t>Choose RabbitMQ when:</w:t>
      </w:r>
      <w:r>
        <w:rPr>
          <w:rFonts w:ascii="Google Sans Text;sans-serif" w:hAnsi="Google Sans Text;sans-serif"/>
        </w:rPr>
        <w:t xml:space="preserve"> Implementing complex transactional routing, low-latency RPC (Remote Procedure Calls), priority queues, per-message dead-letter routing, or standard background job distribution.</w:t>
      </w:r>
    </w:p>
    <w:p>
      <w:pPr>
        <w:pStyle w:val="Normal"/>
        <w:bidi w:val="0"/>
        <w:jc w:val="left"/>
        <w:rPr/>
      </w:pPr>
      <w:r>
        <w:rPr/>
      </w:r>
    </w:p>
    <w:sectPr>
      <w:type w:val="nextPage"/>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OpenSymbol">
    <w:altName w:val="Arial Unicode MS"/>
    <w:charset w:val="02"/>
    <w:family w:val="auto"/>
    <w:pitch w:val="default"/>
  </w:font>
  <w:font w:name="Liberation Mono">
    <w:altName w:val="Courier New"/>
    <w:charset w:val="01"/>
    <w:family w:val="modern"/>
    <w:pitch w:val="fixed"/>
  </w:font>
  <w:font w:name="Liberation Sans">
    <w:altName w:val="Arial"/>
    <w:charset w:val="01"/>
    <w:family w:val="swiss"/>
    <w:pitch w:val="variable"/>
  </w:font>
  <w:font w:name="Google Sans Text">
    <w:altName w:val="sans-serif"/>
    <w:charset w:val="01"/>
    <w:family w:val="auto"/>
    <w:pitch w:val="default"/>
  </w:font>
  <w:font w:name="Google Sans">
    <w:altName w:val="sans-serif"/>
    <w:charset w:val="01"/>
    <w:family w:val="auto"/>
    <w:pitch w:val="default"/>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pStyle w:val="Heading3"/>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w="http://schemas.openxmlformats.org/wordprocessingml/2006/main">
  <w:zoom w:percent="100"/>
  <w:defaultTabStop w:val="709"/>
  <w:autoHyphenation w:val="true"/>
  <w:compat>
    <w:compatSetting w:name="compatibilityMode" w:uri="http://schemas.microsoft.com/office/word" w:val="12"/>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kern w:val="2"/>
        <w:sz w:val="24"/>
        <w:szCs w:val="24"/>
        <w:lang w:val="en-US"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oto Serif CJK SC" w:cs="Noto Sans Devanagari"/>
      <w:color w:val="auto"/>
      <w:kern w:val="2"/>
      <w:sz w:val="24"/>
      <w:szCs w:val="24"/>
      <w:lang w:val="en-US" w:eastAsia="zh-CN" w:bidi="hi-IN"/>
    </w:rPr>
  </w:style>
  <w:style w:type="paragraph" w:styleId="Heading3">
    <w:name w:val="Heading 3"/>
    <w:basedOn w:val="Heading"/>
    <w:next w:val="BodyText"/>
    <w:qFormat/>
    <w:pPr>
      <w:spacing w:before="140" w:after="120"/>
      <w:outlineLvl w:val="2"/>
    </w:pPr>
    <w:rPr>
      <w:rFonts w:ascii="Liberation Serif" w:hAnsi="Liberation Serif" w:eastAsia="Noto Serif CJK SC" w:cs="Noto Sans Devanagari"/>
      <w:b/>
      <w:bCs/>
      <w:sz w:val="28"/>
      <w:szCs w:val="28"/>
    </w:rPr>
  </w:style>
  <w:style w:type="character" w:styleId="Strong">
    <w:name w:val="Strong"/>
    <w:qFormat/>
    <w:rPr>
      <w:b/>
      <w:bCs/>
    </w:rPr>
  </w:style>
  <w:style w:type="character" w:styleId="Bullets">
    <w:name w:val="Bullets"/>
    <w:qFormat/>
    <w:rPr>
      <w:rFonts w:ascii="OpenSymbol" w:hAnsi="OpenSymbol" w:eastAsia="OpenSymbol" w:cs="OpenSymbol"/>
    </w:rPr>
  </w:style>
  <w:style w:type="character" w:styleId="SourceText">
    <w:name w:val="Source Text"/>
    <w:qFormat/>
    <w:rPr>
      <w:rFonts w:ascii="Liberation Mono" w:hAnsi="Liberation Mono" w:eastAsia="Noto Sans Mono CJK SC" w:cs="Liberation Mono"/>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ages>2</Pages>
  <Words>421</Words>
  <Characters>2803</Characters>
  <CharactersWithSpaces>3174</CharactersWithSpaces>
  <Paragraphs>42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2026-09-11T14:12:45Z</dcterms:created>
  <dc:creator/>
  <dc:description/>
  <dc:language>en-US</dc:language>
  <cp:lastModifiedBy/>
  <dcterms:modified xsi:type="dcterms:W3CDTF">2026-09-11T14:13:36Z</dcterms:modified>
  <cp:revision>1</cp:revision>
  <dc:subject/>
  <dc:title/>
</cp:coreProperties>
</file>