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Architectural Patterns in Modern Software Engineering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bookmarkStart w:id="0" w:name="p-rc_08f6c1db7482772f-104"/>
      <w:bookmarkStart w:id="1" w:name="p-rc_08f6c1db7482772f-105"/>
      <w:bookmarkEnd w:id="0"/>
      <w:bookmarkEnd w:id="1"/>
      <w:r>
        <w:rPr>
          <w:rFonts w:ascii="Google Sans Text;sans-serif" w:hAnsi="Google Sans Text;sans-serif"/>
        </w:rPr>
        <w:t xml:space="preserve">Architectural design dictates how software systems are structured, scaled, maintained, and evolved. Selecting the correct architectural paradigm is critical for aligning technical capabilities with business objectives. 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Monolithic Architecture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bookmarkStart w:id="2" w:name="p-rc_08f6c1db7482772f-106"/>
      <w:bookmarkStart w:id="3" w:name="p-rc_08f6c1db7482772f-107"/>
      <w:bookmarkEnd w:id="2"/>
      <w:bookmarkEnd w:id="3"/>
      <w:r>
        <w:rPr>
          <w:rFonts w:ascii="Google Sans Text;sans-serif" w:hAnsi="Google Sans Text;sans-serif"/>
        </w:rPr>
        <w:t xml:space="preserve">A monolithic architecture represents a traditional unified model for designing software applications. In this approach, all components—including the user interface, business logic, data access layers, and background workers—are bundled together into a single, cohesive codebase and deployed as a single executable or artifact.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4" w:name="p-rc_08f6c1db7482772f-108"/>
      <w:bookmarkEnd w:id="4"/>
      <w:r>
        <w:rPr>
          <w:rFonts w:ascii="Google Sans Text;sans-serif" w:hAnsi="Google Sans Text;sans-serif"/>
          <w:b/>
        </w:rPr>
        <w:t>Unified Codebase:</w:t>
      </w:r>
      <w:r>
        <w:rPr>
          <w:rFonts w:ascii="Google Sans Text;sans-serif" w:hAnsi="Google Sans Text;sans-serif"/>
        </w:rPr>
        <w:t xml:space="preserve"> All modules share the same memory space, libraries, and runtime environment.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5" w:name="p-rc_08f6c1db7482772f-109"/>
      <w:bookmarkEnd w:id="5"/>
      <w:r>
        <w:rPr>
          <w:rFonts w:ascii="Google Sans Text;sans-serif" w:hAnsi="Google Sans Text;sans-serif"/>
          <w:b/>
        </w:rPr>
        <w:t>Shared Database:</w:t>
      </w:r>
      <w:r>
        <w:rPr>
          <w:rFonts w:ascii="Google Sans Text;sans-serif" w:hAnsi="Google Sans Text;sans-serif"/>
        </w:rPr>
        <w:t xml:space="preserve"> Typically, all components read from and write to a single centralized database instance.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6" w:name="p-rc_08f6c1db7482772f-110"/>
      <w:bookmarkEnd w:id="6"/>
      <w:r>
        <w:rPr>
          <w:rFonts w:ascii="Google Sans Text;sans-serif" w:hAnsi="Google Sans Text;sans-serif"/>
          <w:b/>
        </w:rPr>
        <w:t>Tight Coupling:</w:t>
      </w:r>
      <w:r>
        <w:rPr>
          <w:rFonts w:ascii="Google Sans Text;sans-serif" w:hAnsi="Google Sans Text;sans-serif"/>
        </w:rPr>
        <w:t xml:space="preserve"> Modules depend heavily on direct function calls and shared classes rather than network protocols. 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Advantages of Monolithic Architecture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7" w:name="p-rc_08f6c1db7482772f-111"/>
      <w:bookmarkStart w:id="8" w:name="p-rc_08f6c1db7482772f-112"/>
      <w:bookmarkEnd w:id="7"/>
      <w:bookmarkEnd w:id="8"/>
      <w:r>
        <w:rPr>
          <w:rFonts w:ascii="Google Sans Text;sans-serif" w:hAnsi="Google Sans Text;sans-serif"/>
          <w:b/>
        </w:rPr>
        <w:t>Simplicity in Development:</w:t>
      </w:r>
      <w:r>
        <w:rPr>
          <w:rFonts w:ascii="Google Sans Text;sans-serif" w:hAnsi="Google Sans Text;sans-serif"/>
        </w:rPr>
        <w:t xml:space="preserve"> Developers can build and test everything within a single project structure without configuring complex network communication layers.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9" w:name="p-rc_08f6c1db7482772f-113"/>
      <w:bookmarkEnd w:id="9"/>
      <w:r>
        <w:rPr>
          <w:rFonts w:ascii="Google Sans Text;sans-serif" w:hAnsi="Google Sans Text;sans-serif"/>
          <w:b/>
        </w:rPr>
        <w:t>Straightforward Deployment:</w:t>
      </w:r>
      <w:r>
        <w:rPr>
          <w:rFonts w:ascii="Google Sans Text;sans-serif" w:hAnsi="Google Sans Text;sans-serif"/>
        </w:rPr>
        <w:t xml:space="preserve"> Packaging the entire application into one file simplifies deployment to staging or production environments.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10" w:name="p-rc_08f6c1db7482772f-114"/>
      <w:bookmarkEnd w:id="10"/>
      <w:r>
        <w:rPr>
          <w:rFonts w:ascii="Google Sans Text;sans-serif" w:hAnsi="Google Sans Text;sans-serif"/>
          <w:b/>
        </w:rPr>
        <w:t>Optimal Performance (Low Latency):</w:t>
      </w:r>
      <w:r>
        <w:rPr>
          <w:rFonts w:ascii="Google Sans Text;sans-serif" w:hAnsi="Google Sans Text;sans-serif"/>
        </w:rPr>
        <w:t xml:space="preserve"> In-memory method calls are significantly faster than inter-service network requests or remote procedure calls.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11" w:name="p-rc_08f6c1db7482772f-115"/>
      <w:bookmarkEnd w:id="11"/>
      <w:r>
        <w:rPr>
          <w:rFonts w:ascii="Google Sans Text;sans-serif" w:hAnsi="Google Sans Text;sans-serif"/>
          <w:b/>
        </w:rPr>
        <w:t>Easier End-to-End Testing:</w:t>
      </w:r>
      <w:r>
        <w:rPr>
          <w:rFonts w:ascii="Google Sans Text;sans-serif" w:hAnsi="Google Sans Text;sans-serif"/>
        </w:rPr>
        <w:t xml:space="preserve"> Running automated integration and end-to-end tests is simpler because the entire system operates locally. 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Disadvantages of Monolithic Architecture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12" w:name="p-rc_08f6c1db7482772f-116"/>
      <w:bookmarkStart w:id="13" w:name="p-rc_08f6c1db7482772f-117"/>
      <w:bookmarkEnd w:id="12"/>
      <w:bookmarkEnd w:id="13"/>
      <w:r>
        <w:rPr>
          <w:rFonts w:ascii="Google Sans Text;sans-serif" w:hAnsi="Google Sans Text;sans-serif"/>
          <w:b/>
        </w:rPr>
        <w:t>Scalability Bottlenecks:</w:t>
      </w:r>
      <w:r>
        <w:rPr>
          <w:rFonts w:ascii="Google Sans Text;sans-serif" w:hAnsi="Google Sans Text;sans-serif"/>
        </w:rPr>
        <w:t xml:space="preserve"> If a specific component experiences high load, the entire monolith must be scaled horizontally, wasting resources on underutilized components.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14" w:name="p-rc_08f6c1db7482772f-118"/>
      <w:bookmarkEnd w:id="14"/>
      <w:r>
        <w:rPr>
          <w:rFonts w:ascii="Google Sans Text;sans-serif" w:hAnsi="Google Sans Text;sans-serif"/>
          <w:b/>
        </w:rPr>
        <w:t>High Coupling and Cascading Failures:</w:t>
      </w:r>
      <w:r>
        <w:rPr>
          <w:rFonts w:ascii="Google Sans Text;sans-serif" w:hAnsi="Google Sans Text;sans-serif"/>
        </w:rPr>
        <w:t xml:space="preserve"> A bug or memory leak in one obscure module can crash the entire application process.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15" w:name="p-rc_08f6c1db7482772f-119"/>
      <w:bookmarkEnd w:id="15"/>
      <w:r>
        <w:rPr>
          <w:rFonts w:ascii="Google Sans Text;sans-serif" w:hAnsi="Google Sans Text;sans-serif"/>
          <w:b/>
        </w:rPr>
        <w:t>Slow Build and Deployment Cycles:</w:t>
      </w:r>
      <w:r>
        <w:rPr>
          <w:rFonts w:ascii="Google Sans Text;sans-serif" w:hAnsi="Google Sans Text;sans-serif"/>
        </w:rPr>
        <w:t xml:space="preserve"> As the codebase grows, compilation, testing, and deployment times increase exponentially, reducing developer velocity.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16" w:name="p-rc_08f6c1db7482772f-120"/>
      <w:bookmarkEnd w:id="16"/>
      <w:r>
        <w:rPr>
          <w:rFonts w:ascii="Google Sans Text;sans-serif" w:hAnsi="Google Sans Text;sans-serif"/>
          <w:b/>
        </w:rPr>
        <w:t>Technology Lock-In:</w:t>
      </w:r>
      <w:r>
        <w:rPr>
          <w:rFonts w:ascii="Google Sans Text;sans-serif" w:hAnsi="Google Sans Text;sans-serif"/>
        </w:rPr>
        <w:t xml:space="preserve"> Adopting a new framework or programming language requires rewriting or refactoring the entire application. 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Distributed Architecture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bookmarkStart w:id="17" w:name="p-rc_08f6c1db7482772f-121"/>
      <w:bookmarkStart w:id="18" w:name="p-rc_08f6c1db7482772f-122"/>
      <w:bookmarkEnd w:id="17"/>
      <w:bookmarkEnd w:id="18"/>
      <w:r>
        <w:rPr>
          <w:rFonts w:ascii="Google Sans Text;sans-serif" w:hAnsi="Google Sans Text;sans-serif"/>
        </w:rPr>
        <w:t xml:space="preserve">A distributed architecture is a broader computing model where components located on networked computers communicate and coordinate their actions by passing messages. Unlike monolithic systems constrained to a single machine or process, distributed systems spread processing logic, data storage, and execution across multiple autonomous nodes.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19" w:name="p-rc_08f6c1db7482772f-123"/>
      <w:bookmarkEnd w:id="19"/>
      <w:r>
        <w:rPr>
          <w:rFonts w:ascii="Google Sans Text;sans-serif" w:hAnsi="Google Sans Text;sans-serif"/>
          <w:b/>
        </w:rPr>
        <w:t>Decoupled Nodes:</w:t>
      </w:r>
      <w:r>
        <w:rPr>
          <w:rFonts w:ascii="Google Sans Text;sans-serif" w:hAnsi="Google Sans Text;sans-serif"/>
        </w:rPr>
        <w:t xml:space="preserve"> Independent services or nodes operate on separate physical machines or virtual containers.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0" w:name="p-rc_08f6c1db7482772f-124"/>
      <w:bookmarkEnd w:id="20"/>
      <w:r>
        <w:rPr>
          <w:rFonts w:ascii="Google Sans Text;sans-serif" w:hAnsi="Google Sans Text;sans-serif"/>
          <w:b/>
        </w:rPr>
        <w:t>Network-Bound Communication:</w:t>
      </w:r>
      <w:r>
        <w:rPr>
          <w:rFonts w:ascii="Google Sans Text;sans-serif" w:hAnsi="Google Sans Text;sans-serif"/>
        </w:rPr>
        <w:t xml:space="preserve"> Nodes communicate via network protocols such as HTTP/REST, gRPC, or message brokers.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1" w:name="p-rc_08f6c1db7482772f-125"/>
      <w:bookmarkEnd w:id="21"/>
      <w:r>
        <w:rPr>
          <w:rFonts w:ascii="Google Sans Text;sans-serif" w:hAnsi="Google Sans Text;sans-serif"/>
          <w:b/>
        </w:rPr>
        <w:t>Horizontal Scalability:</w:t>
      </w:r>
      <w:r>
        <w:rPr>
          <w:rFonts w:ascii="Google Sans Text;sans-serif" w:hAnsi="Google Sans Text;sans-serif"/>
        </w:rPr>
        <w:t xml:space="preserve"> Resources can be expanded dynamically by adding more hardware nodes to the cluster. 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Advantages of Distributed Architecture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2" w:name="p-rc_08f6c1db7482772f-126"/>
      <w:bookmarkStart w:id="23" w:name="p-rc_08f6c1db7482772f-127"/>
      <w:bookmarkEnd w:id="22"/>
      <w:bookmarkEnd w:id="23"/>
      <w:r>
        <w:rPr>
          <w:rFonts w:ascii="Google Sans Text;sans-serif" w:hAnsi="Google Sans Text;sans-serif"/>
          <w:b/>
        </w:rPr>
        <w:t>High Scalability:</w:t>
      </w:r>
      <w:r>
        <w:rPr>
          <w:rFonts w:ascii="Google Sans Text;sans-serif" w:hAnsi="Google Sans Text;sans-serif"/>
        </w:rPr>
        <w:t xml:space="preserve"> Individual nodes or processing pipelines can be scaled independently based on regional or functional demand.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4" w:name="p-rc_08f6c1db7482772f-128"/>
      <w:bookmarkEnd w:id="24"/>
      <w:r>
        <w:rPr>
          <w:rFonts w:ascii="Google Sans Text;sans-serif" w:hAnsi="Google Sans Text;sans-serif"/>
          <w:b/>
        </w:rPr>
        <w:t>Fault Isolation:</w:t>
      </w:r>
      <w:r>
        <w:rPr>
          <w:rFonts w:ascii="Google Sans Text;sans-serif" w:hAnsi="Google Sans Text;sans-serif"/>
        </w:rPr>
        <w:t xml:space="preserve"> A failure or partition in one part of the distributed network does not inherently bring down the entire ecosystem.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5" w:name="p-rc_08f6c1db7482772f-129"/>
      <w:bookmarkEnd w:id="25"/>
      <w:r>
        <w:rPr>
          <w:rFonts w:ascii="Google Sans Text;sans-serif" w:hAnsi="Google Sans Text;sans-serif"/>
          <w:b/>
        </w:rPr>
        <w:t>Resource Utilization Efficiency:</w:t>
      </w:r>
      <w:r>
        <w:rPr>
          <w:rFonts w:ascii="Google Sans Text;sans-serif" w:hAnsi="Google Sans Text;sans-serif"/>
        </w:rPr>
        <w:t xml:space="preserve"> Workloads can be distributed to hardware best suited for specific computational tasks. 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Disadvantages of Distributed Architecture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6" w:name="p-rc_08f6c1db7482772f-130"/>
      <w:bookmarkStart w:id="27" w:name="p-rc_08f6c1db7482772f-131"/>
      <w:bookmarkEnd w:id="26"/>
      <w:bookmarkEnd w:id="27"/>
      <w:r>
        <w:rPr>
          <w:rFonts w:ascii="Google Sans Text;sans-serif" w:hAnsi="Google Sans Text;sans-serif"/>
          <w:b/>
        </w:rPr>
        <w:t>Network Latency and Unreliability:</w:t>
      </w:r>
      <w:r>
        <w:rPr>
          <w:rFonts w:ascii="Google Sans Text;sans-serif" w:hAnsi="Google Sans Text;sans-serif"/>
        </w:rPr>
        <w:t xml:space="preserve"> Inter-node communication introduces network delay and vulnerability to network partitions, timeouts, and packet loss.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8" w:name="p-rc_08f6c1db7482772f-132"/>
      <w:bookmarkEnd w:id="28"/>
      <w:r>
        <w:rPr>
          <w:rFonts w:ascii="Google Sans Text;sans-serif" w:hAnsi="Google Sans Text;sans-serif"/>
          <w:b/>
        </w:rPr>
        <w:t>Data Consistency Complexity:</w:t>
      </w:r>
      <w:r>
        <w:rPr>
          <w:rFonts w:ascii="Google Sans Text;sans-serif" w:hAnsi="Google Sans Text;sans-serif"/>
        </w:rPr>
        <w:t xml:space="preserve"> Maintaining compliance across distributed nodes requires complex coordination mechanisms, often forcing reliance on eventual consistency models.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29" w:name="p-rc_08f6c1db7482772f-133"/>
      <w:bookmarkEnd w:id="29"/>
      <w:r>
        <w:rPr>
          <w:rFonts w:ascii="Google Sans Text;sans-serif" w:hAnsi="Google Sans Text;sans-serif"/>
          <w:b/>
        </w:rPr>
        <w:t>Observability and Debugging Overhead:</w:t>
      </w:r>
      <w:r>
        <w:rPr>
          <w:rFonts w:ascii="Google Sans Text;sans-serif" w:hAnsi="Google Sans Text;sans-serif"/>
        </w:rPr>
        <w:t xml:space="preserve"> Tracing a single user request across dozens of distinct networked services requires advanced distributed tracing tools. 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Microservices Architecture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bookmarkStart w:id="30" w:name="p-rc_08f6c1db7482772f-134"/>
      <w:bookmarkStart w:id="31" w:name="p-rc_08f6c1db7482772f-135"/>
      <w:bookmarkEnd w:id="30"/>
      <w:bookmarkEnd w:id="31"/>
      <w:r>
        <w:rPr>
          <w:rFonts w:ascii="Google Sans Text;sans-serif" w:hAnsi="Google Sans Text;sans-serif"/>
        </w:rPr>
        <w:t xml:space="preserve">Microservices architecture is a specialized, modern implementation of distributed architecture. It structures an application as a collection of loosely coupled, independently deployable services organized around specific business capabilities.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32" w:name="p-rc_08f6c1db7482772f-136"/>
      <w:bookmarkEnd w:id="32"/>
      <w:r>
        <w:rPr>
          <w:rFonts w:ascii="Google Sans Text;sans-serif" w:hAnsi="Google Sans Text;sans-serif"/>
          <w:b/>
        </w:rPr>
        <w:t>Bounded Contexts:</w:t>
      </w:r>
      <w:r>
        <w:rPr>
          <w:rFonts w:ascii="Google Sans Text;sans-serif" w:hAnsi="Google Sans Text;sans-serif"/>
        </w:rPr>
        <w:t xml:space="preserve"> Each microservice owns its specific business domain, data store, and business logic.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33" w:name="p-rc_08f6c1db7482772f-137"/>
      <w:bookmarkEnd w:id="33"/>
      <w:r>
        <w:rPr>
          <w:rFonts w:ascii="Google Sans Text;sans-serif" w:hAnsi="Google Sans Text;sans-serif"/>
          <w:b/>
        </w:rPr>
        <w:t>Decentralized Governance:</w:t>
      </w:r>
      <w:r>
        <w:rPr>
          <w:rFonts w:ascii="Google Sans Text;sans-serif" w:hAnsi="Google Sans Text;sans-serif"/>
        </w:rPr>
        <w:t xml:space="preserve"> Services can be built using different technology stacks, languages, and data persistence layers optimized for their specific requirements.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34" w:name="p-rc_08f6c1db7482772f-138"/>
      <w:bookmarkEnd w:id="34"/>
      <w:r>
        <w:rPr>
          <w:rFonts w:ascii="Google Sans Text;sans-serif" w:hAnsi="Google Sans Text;sans-serif"/>
          <w:b/>
        </w:rPr>
        <w:t>Automated CI/CD Pipelines:</w:t>
      </w:r>
      <w:r>
        <w:rPr>
          <w:rFonts w:ascii="Google Sans Text;sans-serif" w:hAnsi="Google Sans Text;sans-serif"/>
        </w:rPr>
        <w:t xml:space="preserve"> Microservices rely heavily on automated testing, containerization, and orchestration platforms for rapid deployment. 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Advantages of Microservices Architecture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35" w:name="p-rc_08f6c1db7482772f-139"/>
      <w:bookmarkStart w:id="36" w:name="p-rc_08f6c1db7482772f-140"/>
      <w:bookmarkEnd w:id="35"/>
      <w:bookmarkEnd w:id="36"/>
      <w:r>
        <w:rPr>
          <w:rFonts w:ascii="Google Sans Text;sans-serif" w:hAnsi="Google Sans Text;sans-serif"/>
          <w:b/>
        </w:rPr>
        <w:t>Team Autonomy and Agility:</w:t>
      </w:r>
      <w:r>
        <w:rPr>
          <w:rFonts w:ascii="Google Sans Text;sans-serif" w:hAnsi="Google Sans Text;sans-serif"/>
        </w:rPr>
        <w:t xml:space="preserve"> Cross-functional teams can own, develop, deploy, and scale their respective services independently without waiting for enterprise release cycles. 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37" w:name="p-rc_08f6c1db7482772f-141"/>
      <w:bookmarkEnd w:id="37"/>
      <w:r>
        <w:rPr>
          <w:rFonts w:ascii="Google Sans Text;sans-serif" w:hAnsi="Google Sans Text;sans-serif"/>
          <w:b/>
        </w:rPr>
        <w:t>Targeted Scaling:</w:t>
      </w:r>
      <w:r>
        <w:rPr>
          <w:rFonts w:ascii="Google Sans Text;sans-serif" w:hAnsi="Google Sans Text;sans-serif"/>
        </w:rPr>
        <w:t xml:space="preserve"> High-demand services can be scaled on demand independently of low-traffic components. 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38" w:name="p-rc_08f6c1db7482772f-142"/>
      <w:bookmarkEnd w:id="38"/>
      <w:r>
        <w:rPr>
          <w:rFonts w:ascii="Google Sans Text;sans-serif" w:hAnsi="Google Sans Text;sans-serif"/>
          <w:b/>
        </w:rPr>
        <w:t>Technology Heterogeneity:</w:t>
      </w:r>
      <w:r>
        <w:rPr>
          <w:rFonts w:ascii="Google Sans Text;sans-serif" w:hAnsi="Google Sans Text;sans-serif"/>
        </w:rPr>
        <w:t xml:space="preserve"> Engineering teams can select the best programming language, framework, or database for each unique microservice problem. 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39" w:name="p-rc_08f6c1db7482772f-143"/>
      <w:bookmarkEnd w:id="39"/>
      <w:r>
        <w:rPr>
          <w:rFonts w:ascii="Google Sans Text;sans-serif" w:hAnsi="Google Sans Text;sans-serif"/>
          <w:b/>
        </w:rPr>
        <w:t>Resilience:</w:t>
      </w:r>
      <w:r>
        <w:rPr>
          <w:rFonts w:ascii="Google Sans Text;sans-serif" w:hAnsi="Google Sans Text;sans-serif"/>
        </w:rPr>
        <w:t xml:space="preserve"> If a non-critical microservice fails, core functionalities can remain operational through graceful degradation. 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Disadvantages of Microservices Architecture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40" w:name="p-rc_08f6c1db7482772f-144"/>
      <w:bookmarkStart w:id="41" w:name="p-rc_08f6c1db7482772f-145"/>
      <w:bookmarkEnd w:id="40"/>
      <w:bookmarkEnd w:id="41"/>
      <w:r>
        <w:rPr>
          <w:rFonts w:ascii="Google Sans Text;sans-serif" w:hAnsi="Google Sans Text;sans-serif"/>
          <w:b/>
        </w:rPr>
        <w:t>High Operational Complexity:</w:t>
      </w:r>
      <w:r>
        <w:rPr>
          <w:rFonts w:ascii="Google Sans Text;sans-serif" w:hAnsi="Google Sans Text;sans-serif"/>
        </w:rPr>
        <w:t xml:space="preserve"> Managing dozens or hundreds of distributed containers requires robust infrastructure automation, service discovery, and API gateways. 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42" w:name="p-rc_08f6c1db7482772f-146"/>
      <w:bookmarkEnd w:id="42"/>
      <w:r>
        <w:rPr>
          <w:rFonts w:ascii="Google Sans Text;sans-serif" w:hAnsi="Google Sans Text;sans-serif"/>
          <w:b/>
        </w:rPr>
        <w:t>Distributed Transaction Management:</w:t>
      </w:r>
      <w:r>
        <w:rPr>
          <w:rFonts w:ascii="Google Sans Text;sans-serif" w:hAnsi="Google Sans Text;sans-serif"/>
        </w:rPr>
        <w:t xml:space="preserve"> Traditional database transactions do not span multiple services, necessitating complex architectural patterns like the Saga pattern or eventual consistency frameworks. 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43" w:name="p-rc_08f6c1db7482772f-147"/>
      <w:bookmarkEnd w:id="43"/>
      <w:r>
        <w:rPr>
          <w:rFonts w:ascii="Google Sans Text;sans-serif" w:hAnsi="Google Sans Text;sans-serif"/>
          <w:b/>
        </w:rPr>
        <w:t>Testing and Integration Overhead:</w:t>
      </w:r>
      <w:r>
        <w:rPr>
          <w:rFonts w:ascii="Google Sans Text;sans-serif" w:hAnsi="Google Sans Text;sans-serif"/>
        </w:rPr>
        <w:t xml:space="preserve"> Verifying end-to-end behavior requires mocking external services and running intricate integration test suites across containerized environments. 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bookmarkStart w:id="44" w:name="p-rc_08f6c1db7482772f-148"/>
      <w:bookmarkEnd w:id="44"/>
      <w:r>
        <w:rPr>
          <w:rFonts w:ascii="Google Sans Text;sans-serif" w:hAnsi="Google Sans Text;sans-serif"/>
          <w:b/>
        </w:rPr>
        <w:t>Initial Cost and Overhead:</w:t>
      </w:r>
      <w:r>
        <w:rPr>
          <w:rFonts w:ascii="Google Sans Text;sans-serif" w:hAnsi="Google Sans Text;sans-serif"/>
        </w:rPr>
        <w:t xml:space="preserve"> The upfront architectural and infrastructure investment makes microservices inefficient for small, early-stage applications or startups. </w:t>
      </w:r>
    </w:p>
    <w:p>
      <w:pPr>
        <w:pStyle w:val="Heading2"/>
        <w:bidi w:val="0"/>
        <w:spacing w:lineRule="auto" w:line="273" w:before="0" w:after="12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Comparative Summary</w:t>
      </w:r>
    </w:p>
    <w:p>
      <w:pPr>
        <w:pStyle w:val="Normal"/>
        <w:bidi w:val="0"/>
        <w:spacing w:before="0" w:after="0"/>
        <w:ind w:hanging="0" w:left="0" w:right="0"/>
        <w:jc w:val="left"/>
        <w:rPr>
          <w:sz w:val="4"/>
          <w:szCs w:val="4"/>
        </w:rPr>
      </w:pPr>
      <w:r>
        <w:rPr>
          <w:sz w:val="4"/>
          <w:szCs w:val="4"/>
        </w:rPr>
      </w:r>
      <w:bookmarkStart w:id="45" w:name="p-rc_08f6c1db7482772f-149"/>
      <w:bookmarkStart w:id="46" w:name="p-rc_08f6c1db7482772f-149"/>
      <w:bookmarkEnd w:id="46"/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960"/>
        <w:gridCol w:w="1971"/>
        <w:gridCol w:w="2265"/>
        <w:gridCol w:w="3442"/>
      </w:tblGrid>
      <w:tr>
        <w:trPr>
          <w:tblHeader w:val="true"/>
        </w:trPr>
        <w:tc>
          <w:tcPr>
            <w:tcW w:w="196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Architecture Metric</w:t>
            </w:r>
          </w:p>
        </w:tc>
        <w:tc>
          <w:tcPr>
            <w:tcW w:w="197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Monolithic</w:t>
            </w:r>
          </w:p>
        </w:tc>
        <w:tc>
          <w:tcPr>
            <w:tcW w:w="22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Distributed (General)</w:t>
            </w:r>
          </w:p>
        </w:tc>
        <w:tc>
          <w:tcPr>
            <w:tcW w:w="34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Microservices</w:t>
            </w:r>
          </w:p>
        </w:tc>
      </w:tr>
      <w:tr>
        <w:trPr/>
        <w:tc>
          <w:tcPr>
            <w:tcW w:w="196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Deployment</w:t>
            </w:r>
          </w:p>
        </w:tc>
        <w:tc>
          <w:tcPr>
            <w:tcW w:w="197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47" w:name="p-rc_08f6c1db7482772f-150"/>
            <w:bookmarkEnd w:id="47"/>
            <w:r>
              <w:rPr>
                <w:rFonts w:ascii="Google Sans Text;sans-serif" w:hAnsi="Google Sans Text;sans-serif"/>
              </w:rPr>
              <w:t xml:space="preserve">Single unit/artifact </w:t>
            </w:r>
          </w:p>
        </w:tc>
        <w:tc>
          <w:tcPr>
            <w:tcW w:w="22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48" w:name="p-rc_08f6c1db7482772f-151"/>
            <w:bookmarkEnd w:id="48"/>
            <w:r>
              <w:rPr>
                <w:rFonts w:ascii="Google Sans Text;sans-serif" w:hAnsi="Google Sans Text;sans-serif"/>
              </w:rPr>
              <w:t xml:space="preserve">Multiple networked nodes </w:t>
            </w:r>
          </w:p>
        </w:tc>
        <w:tc>
          <w:tcPr>
            <w:tcW w:w="34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49" w:name="p-rc_08f6c1db7482772f-152"/>
            <w:bookmarkEnd w:id="49"/>
            <w:r>
              <w:rPr>
                <w:rFonts w:ascii="Google Sans Text;sans-serif" w:hAnsi="Google Sans Text;sans-serif"/>
              </w:rPr>
              <w:t xml:space="preserve">Independently containerized services </w:t>
            </w:r>
          </w:p>
        </w:tc>
      </w:tr>
      <w:tr>
        <w:trPr/>
        <w:tc>
          <w:tcPr>
            <w:tcW w:w="196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Scalability</w:t>
            </w:r>
          </w:p>
        </w:tc>
        <w:tc>
          <w:tcPr>
            <w:tcW w:w="197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0" w:name="p-rc_08f6c1db7482772f-153"/>
            <w:bookmarkEnd w:id="50"/>
            <w:r>
              <w:rPr>
                <w:rFonts w:ascii="Google Sans Text;sans-serif" w:hAnsi="Google Sans Text;sans-serif"/>
              </w:rPr>
              <w:t xml:space="preserve">Vertical (Scale up) primarily </w:t>
            </w:r>
          </w:p>
        </w:tc>
        <w:tc>
          <w:tcPr>
            <w:tcW w:w="22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1" w:name="p-rc_08f6c1db7482772f-154"/>
            <w:bookmarkEnd w:id="51"/>
            <w:r>
              <w:rPr>
                <w:rFonts w:ascii="Google Sans Text;sans-serif" w:hAnsi="Google Sans Text;sans-serif"/>
              </w:rPr>
              <w:t xml:space="preserve">Horizontal (Scale out) </w:t>
            </w:r>
          </w:p>
        </w:tc>
        <w:tc>
          <w:tcPr>
            <w:tcW w:w="34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2" w:name="p-rc_08f6c1db7482772f-155"/>
            <w:bookmarkEnd w:id="52"/>
            <w:r>
              <w:rPr>
                <w:rFonts w:ascii="Google Sans Text;sans-serif" w:hAnsi="Google Sans Text;sans-serif"/>
              </w:rPr>
              <w:t xml:space="preserve">Granular horizontal scaling per service </w:t>
            </w:r>
          </w:p>
        </w:tc>
      </w:tr>
      <w:tr>
        <w:trPr/>
        <w:tc>
          <w:tcPr>
            <w:tcW w:w="196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Complexity</w:t>
            </w:r>
          </w:p>
        </w:tc>
        <w:tc>
          <w:tcPr>
            <w:tcW w:w="197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3" w:name="p-rc_08f6c1db7482772f-156"/>
            <w:bookmarkEnd w:id="53"/>
            <w:r>
              <w:rPr>
                <w:rFonts w:ascii="Google Sans Text;sans-serif" w:hAnsi="Google Sans Text;sans-serif"/>
              </w:rPr>
              <w:t xml:space="preserve">Low initially, high at scale </w:t>
            </w:r>
          </w:p>
        </w:tc>
        <w:tc>
          <w:tcPr>
            <w:tcW w:w="22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4" w:name="p-rc_08f6c1db7482772f-157"/>
            <w:bookmarkEnd w:id="54"/>
            <w:r>
              <w:rPr>
                <w:rFonts w:ascii="Google Sans Text;sans-serif" w:hAnsi="Google Sans Text;sans-serif"/>
              </w:rPr>
              <w:t xml:space="preserve">High (network and coordination) </w:t>
            </w:r>
          </w:p>
        </w:tc>
        <w:tc>
          <w:tcPr>
            <w:tcW w:w="34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5" w:name="p-rc_08f6c1db7482772f-158"/>
            <w:bookmarkEnd w:id="55"/>
            <w:r>
              <w:rPr>
                <w:rFonts w:ascii="Google Sans Text;sans-serif" w:hAnsi="Google Sans Text;sans-serif"/>
              </w:rPr>
              <w:t xml:space="preserve">Very High (governance, tracing, orchestration) </w:t>
            </w:r>
          </w:p>
        </w:tc>
      </w:tr>
      <w:tr>
        <w:trPr/>
        <w:tc>
          <w:tcPr>
            <w:tcW w:w="196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 Management</w:t>
            </w:r>
          </w:p>
        </w:tc>
        <w:tc>
          <w:tcPr>
            <w:tcW w:w="197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6" w:name="p-rc_08f6c1db7482772f-159"/>
            <w:bookmarkEnd w:id="56"/>
            <w:r>
              <w:rPr>
                <w:rFonts w:ascii="Google Sans Text;sans-serif" w:hAnsi="Google Sans Text;sans-serif"/>
              </w:rPr>
              <w:t xml:space="preserve">Single shared database </w:t>
            </w:r>
          </w:p>
        </w:tc>
        <w:tc>
          <w:tcPr>
            <w:tcW w:w="226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7" w:name="p-rc_08f6c1db7482772f-160"/>
            <w:bookmarkEnd w:id="57"/>
            <w:r>
              <w:rPr>
                <w:rFonts w:ascii="Google Sans Text;sans-serif" w:hAnsi="Google Sans Text;sans-serif"/>
              </w:rPr>
              <w:t xml:space="preserve">Distributed datastores </w:t>
            </w:r>
          </w:p>
        </w:tc>
        <w:tc>
          <w:tcPr>
            <w:tcW w:w="34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8" w:name="p-rc_08f6c1db7482772f-161"/>
            <w:bookmarkEnd w:id="58"/>
            <w:r>
              <w:rPr>
                <w:rFonts w:ascii="Google Sans Text;sans-serif" w:hAnsi="Google Sans Text;sans-serif"/>
              </w:rPr>
              <w:t xml:space="preserve">Database-per-service pattern 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4</Pages>
  <Words>811</Words>
  <Characters>5595</Characters>
  <CharactersWithSpaces>6354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2026-09-10T10:52:03Z</dcterms:created>
  <dc:creator/>
  <dc:description/>
  <dc:language>en-US</dc:language>
  <cp:lastModifiedBy/>
  <dcterms:modified xsi:type="dcterms:W3CDTF">2026-09-10T10:55:58Z</dcterms:modified>
  <cp:revision>1</cp:revision>
  <dc:subject/>
  <dc:title/>
</cp:coreProperties>
</file>