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Monolithic and microservices architectures represent two opposing approaches to application design, balancing initial development velocity against long-term operational autonomy.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Architectural Comparison Matrix</w:t>
      </w:r>
    </w:p>
    <w:tbl>
      <w:tblPr>
        <w:tblW w:w="9638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2063"/>
        <w:gridCol w:w="3338"/>
        <w:gridCol w:w="4237"/>
      </w:tblGrid>
      <w:tr>
        <w:trPr>
          <w:tblHeader w:val="true"/>
        </w:trPr>
        <w:tc>
          <w:tcPr>
            <w:tcW w:w="206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Dimension</w:t>
            </w:r>
          </w:p>
        </w:tc>
        <w:tc>
          <w:tcPr>
            <w:tcW w:w="333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Monolithic Architecture</w:t>
            </w:r>
          </w:p>
        </w:tc>
        <w:tc>
          <w:tcPr>
            <w:tcW w:w="423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Microservices Architecture</w:t>
            </w:r>
          </w:p>
        </w:tc>
      </w:tr>
      <w:tr>
        <w:trPr/>
        <w:tc>
          <w:tcPr>
            <w:tcW w:w="206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Codebase &amp; Deployment</w:t>
            </w:r>
          </w:p>
        </w:tc>
        <w:tc>
          <w:tcPr>
            <w:tcW w:w="333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Single unified codebase deployed as a single artifact (e.g., JAR, WAR, or binary).</w:t>
            </w:r>
          </w:p>
        </w:tc>
        <w:tc>
          <w:tcPr>
            <w:tcW w:w="423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Distributed codebases deployed independently as separate services/containers.</w:t>
            </w:r>
          </w:p>
        </w:tc>
      </w:tr>
      <w:tr>
        <w:trPr/>
        <w:tc>
          <w:tcPr>
            <w:tcW w:w="206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Scalability</w:t>
            </w:r>
          </w:p>
        </w:tc>
        <w:tc>
          <w:tcPr>
            <w:tcW w:w="333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Scales the entire application monolithically behind a load balancer.</w:t>
            </w:r>
          </w:p>
        </w:tc>
        <w:tc>
          <w:tcPr>
            <w:tcW w:w="423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Independent horizontal scaling of individual services based on specific domain load.</w:t>
            </w:r>
          </w:p>
        </w:tc>
      </w:tr>
      <w:tr>
        <w:trPr/>
        <w:tc>
          <w:tcPr>
            <w:tcW w:w="206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Fault Isolation</w:t>
            </w:r>
          </w:p>
        </w:tc>
        <w:tc>
          <w:tcPr>
            <w:tcW w:w="333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Low; an unhandled exception or memory leak in one module can crash the system.</w:t>
            </w:r>
          </w:p>
        </w:tc>
        <w:tc>
          <w:tcPr>
            <w:tcW w:w="423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High; failure in one service is isolated and contained using circuit breakers.</w:t>
            </w:r>
          </w:p>
        </w:tc>
      </w:tr>
      <w:tr>
        <w:trPr/>
        <w:tc>
          <w:tcPr>
            <w:tcW w:w="206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Data Management</w:t>
            </w:r>
          </w:p>
        </w:tc>
        <w:tc>
          <w:tcPr>
            <w:tcW w:w="333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Single shared database with native ACID transaction support across all domain tables.</w:t>
            </w:r>
          </w:p>
        </w:tc>
        <w:tc>
          <w:tcPr>
            <w:tcW w:w="423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Database-per-service pattern; relies on eventual consistency and distributed saga patterns.</w:t>
            </w:r>
          </w:p>
        </w:tc>
      </w:tr>
      <w:tr>
        <w:trPr/>
        <w:tc>
          <w:tcPr>
            <w:tcW w:w="206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Tech Stack Flexibility</w:t>
            </w:r>
          </w:p>
        </w:tc>
        <w:tc>
          <w:tcPr>
            <w:tcW w:w="333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Tied to a single unified language, framework, and runtime environment.</w:t>
            </w:r>
          </w:p>
        </w:tc>
        <w:tc>
          <w:tcPr>
            <w:tcW w:w="423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Polyglot flexibility; each service can use the optimal language, framework, or data store.</w:t>
            </w:r>
          </w:p>
        </w:tc>
      </w:tr>
      <w:tr>
        <w:trPr/>
        <w:tc>
          <w:tcPr>
            <w:tcW w:w="206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Operational Complexity</w:t>
            </w:r>
          </w:p>
        </w:tc>
        <w:tc>
          <w:tcPr>
            <w:tcW w:w="333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Low operational overhead; straightforward CI/CD pipelines, local debugging, and logging.</w:t>
            </w:r>
          </w:p>
        </w:tc>
        <w:tc>
          <w:tcPr>
            <w:tcW w:w="423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High operational overhead; requires service mesh, distributed tracing, and container orchestration.</w:t>
            </w:r>
          </w:p>
        </w:tc>
      </w:tr>
      <w:tr>
        <w:trPr/>
        <w:tc>
          <w:tcPr>
            <w:tcW w:w="206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Inter-Service Latency</w:t>
            </w:r>
          </w:p>
        </w:tc>
        <w:tc>
          <w:tcPr>
            <w:tcW w:w="333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Ultra-fast in-memory function calls within a single process space.</w:t>
            </w:r>
          </w:p>
        </w:tc>
        <w:tc>
          <w:tcPr>
            <w:tcW w:w="423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Network latency overhead via HTTP/REST, gRPC, or messaging brokers (Kafka/RabbitMQ).</w:t>
            </w:r>
          </w:p>
        </w:tc>
      </w:tr>
    </w:tbl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Monolithic Architecture Summary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Strengths:</w:t>
      </w:r>
      <w:r>
        <w:rPr>
          <w:rFonts w:ascii="Google Sans Text;sans-serif" w:hAnsi="Google Sans Text;sans-serif"/>
        </w:rPr>
        <w:t xml:space="preserve"> Simplified initial development, straightforward end-to-end local testing, low operational complexity, and zero network latency between internal business modules.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Weaknesses:</w:t>
      </w:r>
      <w:r>
        <w:rPr>
          <w:rFonts w:ascii="Google Sans Text;sans-serif" w:hAnsi="Google Sans Text;sans-serif"/>
        </w:rPr>
        <w:t xml:space="preserve"> Tight component coupling, risky deployments where a small change requires re-building and re-deploying the full stack, slow build times as the codebase grows, and long-term tech stack lock-in.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Microservices Architecture Summary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Strengths:</w:t>
      </w:r>
      <w:r>
        <w:rPr>
          <w:rFonts w:ascii="Google Sans Text;sans-serif" w:hAnsi="Google Sans Text;sans-serif"/>
        </w:rPr>
        <w:t xml:space="preserve"> Independent team velocity, granular resource utilization, localized fault containment, and autonomy in selecting target tech stacks per service boundary.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Weaknesses:</w:t>
      </w:r>
      <w:r>
        <w:rPr>
          <w:rFonts w:ascii="Google Sans Text;sans-serif" w:hAnsi="Google Sans Text;sans-serif"/>
        </w:rPr>
        <w:t xml:space="preserve"> Distributed systems complexity, network serialization latency, complex data consistency management without global ACID transactions, and heavy DevOps prerequisites (Kubernetes, distributed tracing, service discovery).</w:t>
      </w:r>
    </w:p>
    <w:p>
      <w:pPr>
        <w:pStyle w:val="BodyText"/>
        <w:bidi w:val="0"/>
        <w:spacing w:lineRule="auto" w:line="273" w:before="0" w:after="140"/>
        <w:ind w:hanging="0" w:left="0" w:right="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Architectural Decision Framework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Choose a Monolith when:</w:t>
      </w:r>
      <w:r>
        <w:rPr>
          <w:rFonts w:ascii="Google Sans Text;sans-serif" w:hAnsi="Google Sans Text;sans-serif"/>
        </w:rPr>
        <w:t xml:space="preserve"> Building early-stage MVPs, working with small engineering teams ($&lt; 15$ developers), or when domain boundaries remain fluid and undefined.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left="709" w:right="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Choose Microservices when:</w:t>
      </w:r>
      <w:r>
        <w:rPr>
          <w:rFonts w:ascii="Google Sans Text;sans-serif" w:hAnsi="Google Sans Text;sans-serif"/>
        </w:rPr>
        <w:t xml:space="preserve"> Managing large or multi-team organizations requiring autonomous release cycles, facing distinct scaling bottlenecks on specific business domains, or operating established bounded contexts.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348</Words>
  <Characters>2476</Characters>
  <CharactersWithSpaces>2783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2026-09-11T14:18:06Z</dcterms:created>
  <dc:creator/>
  <dc:description/>
  <dc:language>en-US</dc:language>
  <cp:lastModifiedBy/>
  <dcterms:modified xsi:type="dcterms:W3CDTF">2026-09-11T14:18:52Z</dcterms:modified>
  <cp:revision>1</cp:revision>
  <dc:subject/>
  <dc:title/>
</cp:coreProperties>
</file>