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FD9A" w14:textId="1BDB2E57" w:rsidR="00E836D9" w:rsidRPr="00DD71E1" w:rsidRDefault="00E836D9" w:rsidP="00E836D9">
      <w:pPr>
        <w:rPr>
          <w:b/>
          <w:bCs/>
        </w:rPr>
      </w:pPr>
      <w:r w:rsidRPr="00DD71E1">
        <w:rPr>
          <w:b/>
          <w:bCs/>
        </w:rPr>
        <w:t>Pensions and Inheritance Tax from April 2027</w:t>
      </w:r>
    </w:p>
    <w:p w14:paraId="5266E813" w14:textId="77777777" w:rsidR="007562E2" w:rsidRDefault="001A18F9" w:rsidP="001A18F9">
      <w:r w:rsidRPr="001A18F9">
        <w:t xml:space="preserve">Pensions have historically been one of the most effective </w:t>
      </w:r>
      <w:r w:rsidR="00C0224E">
        <w:t xml:space="preserve">forms of IHT </w:t>
      </w:r>
      <w:r w:rsidRPr="001A18F9">
        <w:t xml:space="preserve">planning because unused pension funds and pension death benefits have fallen outside the </w:t>
      </w:r>
      <w:r>
        <w:t xml:space="preserve">deceased’s </w:t>
      </w:r>
      <w:r w:rsidRPr="001A18F9">
        <w:t>taxable estate. That favourable treatment made pensions attractive not only as a means of funding retirement, but also as a means of passing wealth efficiently to the next generation.</w:t>
      </w:r>
    </w:p>
    <w:p w14:paraId="0678EFAD" w14:textId="200884AB" w:rsidR="007562E2" w:rsidRDefault="007562E2" w:rsidP="001A18F9">
      <w:r w:rsidRPr="007562E2">
        <w:t>The government has decided</w:t>
      </w:r>
      <w:r>
        <w:t>, however,</w:t>
      </w:r>
      <w:r w:rsidRPr="007562E2">
        <w:t xml:space="preserve"> that pensions should no longer be used as an especially favourable vehicle for passing wealth down the generations. The policy thinking behind the change is that pensions should be used primarily for retirement provision rather than as a </w:t>
      </w:r>
      <w:r>
        <w:t xml:space="preserve">tax-free </w:t>
      </w:r>
      <w:r w:rsidRPr="007562E2">
        <w:t xml:space="preserve">wealth transfer </w:t>
      </w:r>
      <w:r w:rsidR="00D00DF7">
        <w:t>facility</w:t>
      </w:r>
      <w:r>
        <w:t xml:space="preserve">, especially given the fact that tax relief is </w:t>
      </w:r>
      <w:r w:rsidR="00D00DF7">
        <w:t>given</w:t>
      </w:r>
      <w:r>
        <w:t xml:space="preserve"> on the contributions and tax is not charged on the growth in fund value</w:t>
      </w:r>
      <w:r w:rsidRPr="007562E2">
        <w:t>.</w:t>
      </w:r>
      <w:r>
        <w:t xml:space="preserve"> </w:t>
      </w:r>
      <w:r w:rsidRPr="007562E2">
        <w:t xml:space="preserve">From 6 April 2027, </w:t>
      </w:r>
      <w:r>
        <w:t xml:space="preserve">therefore, </w:t>
      </w:r>
      <w:r w:rsidRPr="007562E2">
        <w:t xml:space="preserve">most unused pension funds and pension death benefits will be brought into </w:t>
      </w:r>
      <w:r w:rsidR="00D00DF7">
        <w:t xml:space="preserve">the deceased’s </w:t>
      </w:r>
      <w:r w:rsidRPr="007562E2">
        <w:t xml:space="preserve">estate for inheritance tax purposes. </w:t>
      </w:r>
    </w:p>
    <w:p w14:paraId="0A6261A0" w14:textId="62699B16" w:rsidR="007562E2" w:rsidRDefault="00D00DF7" w:rsidP="007562E2">
      <w:r>
        <w:t xml:space="preserve">This </w:t>
      </w:r>
      <w:r w:rsidR="007562E2" w:rsidRPr="007562E2">
        <w:t xml:space="preserve">change </w:t>
      </w:r>
      <w:r>
        <w:t>will be most significant</w:t>
      </w:r>
      <w:r w:rsidR="007562E2" w:rsidRPr="007562E2">
        <w:t xml:space="preserve"> for defined contribution arrangements, </w:t>
      </w:r>
      <w:r>
        <w:t>such as</w:t>
      </w:r>
      <w:r w:rsidR="007562E2" w:rsidRPr="007562E2">
        <w:t xml:space="preserve"> </w:t>
      </w:r>
      <w:r w:rsidRPr="00D00DF7">
        <w:t xml:space="preserve">personal pensions </w:t>
      </w:r>
      <w:r>
        <w:t>(including</w:t>
      </w:r>
      <w:r w:rsidRPr="00D00DF7">
        <w:t xml:space="preserve"> SIPPs</w:t>
      </w:r>
      <w:r>
        <w:t>)</w:t>
      </w:r>
      <w:r w:rsidRPr="00D00DF7">
        <w:t>, as well as funds held in drawdow</w:t>
      </w:r>
      <w:r>
        <w:t>n</w:t>
      </w:r>
      <w:r w:rsidR="007562E2" w:rsidRPr="007562E2">
        <w:t>. In those cases</w:t>
      </w:r>
      <w:r>
        <w:t>, where</w:t>
      </w:r>
      <w:r w:rsidR="007562E2" w:rsidRPr="007562E2">
        <w:t xml:space="preserve"> there is an identifiable unused fund remaining on death, th</w:t>
      </w:r>
      <w:r>
        <w:t>e value of th</w:t>
      </w:r>
      <w:r w:rsidR="007562E2" w:rsidRPr="007562E2">
        <w:t xml:space="preserve">at fund will be </w:t>
      </w:r>
      <w:r>
        <w:t>potentially subject to IHT.</w:t>
      </w:r>
    </w:p>
    <w:p w14:paraId="159B8E47" w14:textId="4D3341A4" w:rsidR="00D00DF7" w:rsidRDefault="00D00DF7" w:rsidP="007562E2">
      <w:r w:rsidRPr="00D00DF7">
        <w:t xml:space="preserve">Defined benefit arrangements </w:t>
      </w:r>
      <w:r>
        <w:t>are</w:t>
      </w:r>
      <w:r w:rsidRPr="00D00DF7">
        <w:t xml:space="preserve"> rather different </w:t>
      </w:r>
      <w:r>
        <w:t xml:space="preserve">in that </w:t>
      </w:r>
      <w:r w:rsidRPr="00D00DF7">
        <w:t xml:space="preserve">there is </w:t>
      </w:r>
      <w:r w:rsidR="006178EB">
        <w:t xml:space="preserve">usually </w:t>
      </w:r>
      <w:r w:rsidRPr="00D00DF7">
        <w:t xml:space="preserve">no </w:t>
      </w:r>
      <w:r>
        <w:t xml:space="preserve">remaining </w:t>
      </w:r>
      <w:r w:rsidRPr="00D00DF7">
        <w:t xml:space="preserve">fund </w:t>
      </w:r>
      <w:r>
        <w:t xml:space="preserve">on death </w:t>
      </w:r>
      <w:r w:rsidRPr="00D00DF7">
        <w:t xml:space="preserve">as </w:t>
      </w:r>
      <w:r w:rsidR="006178EB">
        <w:t>would be the case with</w:t>
      </w:r>
      <w:r w:rsidRPr="00D00DF7">
        <w:t xml:space="preserve"> a defined contribution scheme</w:t>
      </w:r>
      <w:r w:rsidR="006178EB">
        <w:t>.</w:t>
      </w:r>
      <w:r w:rsidRPr="00D00DF7">
        <w:t xml:space="preserve"> </w:t>
      </w:r>
      <w:r w:rsidR="006178EB">
        <w:t>This means the focus is</w:t>
      </w:r>
      <w:r w:rsidRPr="00D00DF7">
        <w:t xml:space="preserve"> on </w:t>
      </w:r>
      <w:r w:rsidR="006178EB">
        <w:t xml:space="preserve">any </w:t>
      </w:r>
      <w:r w:rsidRPr="00D00DF7">
        <w:t xml:space="preserve">lump sum death benefits payable under the scheme rules. </w:t>
      </w:r>
      <w:r w:rsidR="006178EB">
        <w:t xml:space="preserve">Many schemes do not provide lump sum benefits but provide for pensions for dependants instead. </w:t>
      </w:r>
      <w:r w:rsidRPr="00D00DF7">
        <w:t xml:space="preserve">The government has also confirmed that all death in service benefits will </w:t>
      </w:r>
      <w:r w:rsidR="006178EB">
        <w:t>not be subject to</w:t>
      </w:r>
      <w:r w:rsidRPr="00D00DF7">
        <w:t xml:space="preserve"> inheritance tax</w:t>
      </w:r>
      <w:r w:rsidR="006178EB">
        <w:t>.</w:t>
      </w:r>
    </w:p>
    <w:p w14:paraId="4AFDD917" w14:textId="63C24516" w:rsidR="00DD71E1" w:rsidRPr="007562E2" w:rsidRDefault="00DD71E1" w:rsidP="007562E2">
      <w:r w:rsidRPr="00DD71E1">
        <w:t xml:space="preserve">Where pension death benefits pass to a surviving spouse or civil partner, the spouse exemption will prevent an immediate </w:t>
      </w:r>
      <w:r>
        <w:t>IHT</w:t>
      </w:r>
      <w:r w:rsidRPr="00DD71E1">
        <w:t xml:space="preserve"> charge on the first death. </w:t>
      </w:r>
      <w:r>
        <w:t>However, that may mean</w:t>
      </w:r>
      <w:r w:rsidRPr="00DD71E1">
        <w:t xml:space="preserve"> that the </w:t>
      </w:r>
      <w:r w:rsidR="00B10BA0">
        <w:t>IHT</w:t>
      </w:r>
      <w:r w:rsidRPr="00DD71E1">
        <w:t xml:space="preserve"> issue is</w:t>
      </w:r>
      <w:r w:rsidR="00B10BA0">
        <w:t xml:space="preserve"> merely</w:t>
      </w:r>
      <w:r w:rsidRPr="00DD71E1">
        <w:t xml:space="preserve"> deferred rather than eliminated</w:t>
      </w:r>
      <w:r w:rsidR="00B10BA0">
        <w:t xml:space="preserve"> if those assets are substantial</w:t>
      </w:r>
      <w:r w:rsidRPr="00DD71E1">
        <w:t xml:space="preserve">, because </w:t>
      </w:r>
      <w:r w:rsidR="00B10BA0">
        <w:t>they ma</w:t>
      </w:r>
      <w:r w:rsidRPr="00DD71E1">
        <w:t>y still form part of the surviving spouse’s taxable estate. For married couples and civil partners, therefore, the real effect of the new rules may be felt on the second death rather than the first.</w:t>
      </w:r>
    </w:p>
    <w:p w14:paraId="7B47E8F3" w14:textId="287BDC6B" w:rsidR="007562E2" w:rsidRPr="007562E2" w:rsidRDefault="007562E2" w:rsidP="007562E2">
      <w:r w:rsidRPr="007562E2">
        <w:t xml:space="preserve">The new inheritance tax charge </w:t>
      </w:r>
      <w:r w:rsidR="006178EB">
        <w:t>is in addition to</w:t>
      </w:r>
      <w:r w:rsidRPr="007562E2">
        <w:t xml:space="preserve"> the existing income tax treatment of pension death benefits. </w:t>
      </w:r>
      <w:r w:rsidR="00B10BA0">
        <w:t>Where</w:t>
      </w:r>
      <w:r w:rsidRPr="007562E2">
        <w:t xml:space="preserve"> the member dies before age 75, pension death benefits </w:t>
      </w:r>
      <w:r w:rsidR="00B10BA0">
        <w:t>are</w:t>
      </w:r>
      <w:r w:rsidRPr="007562E2">
        <w:t xml:space="preserve"> free of income tax</w:t>
      </w:r>
      <w:r w:rsidR="006178EB">
        <w:t xml:space="preserve"> but w</w:t>
      </w:r>
      <w:r w:rsidRPr="007562E2">
        <w:t xml:space="preserve">here death occurs after age 75, </w:t>
      </w:r>
      <w:r w:rsidR="006178EB">
        <w:t xml:space="preserve">they </w:t>
      </w:r>
      <w:r w:rsidR="00BF1A4D">
        <w:t>are subject</w:t>
      </w:r>
      <w:r w:rsidR="006178EB">
        <w:t xml:space="preserve"> to income tax</w:t>
      </w:r>
      <w:r w:rsidRPr="007562E2">
        <w:t xml:space="preserve"> in the hands of the recipient.</w:t>
      </w:r>
    </w:p>
    <w:p w14:paraId="4A585831" w14:textId="0BE2D564" w:rsidR="007562E2" w:rsidRPr="007562E2" w:rsidRDefault="00BF1A4D" w:rsidP="007562E2">
      <w:r>
        <w:t>P</w:t>
      </w:r>
      <w:r w:rsidR="007562E2" w:rsidRPr="007562E2">
        <w:t>rofessional advisers</w:t>
      </w:r>
      <w:r w:rsidR="00DD71E1">
        <w:t xml:space="preserve"> whose clients</w:t>
      </w:r>
      <w:r w:rsidR="007562E2" w:rsidRPr="007562E2">
        <w:t xml:space="preserve"> </w:t>
      </w:r>
      <w:r w:rsidR="00DD71E1">
        <w:t>hold</w:t>
      </w:r>
      <w:r w:rsidR="007562E2" w:rsidRPr="007562E2">
        <w:t xml:space="preserve"> substantial defined contribution funds, </w:t>
      </w:r>
      <w:r w:rsidR="00DD71E1">
        <w:t>are in</w:t>
      </w:r>
      <w:r w:rsidR="007562E2" w:rsidRPr="007562E2">
        <w:t xml:space="preserve"> drawdown arrangements, or </w:t>
      </w:r>
      <w:r w:rsidR="00DD71E1">
        <w:t xml:space="preserve">who intend </w:t>
      </w:r>
      <w:r w:rsidR="007562E2" w:rsidRPr="007562E2">
        <w:t xml:space="preserve">to leave pension </w:t>
      </w:r>
      <w:r w:rsidR="00DD71E1">
        <w:t>assets</w:t>
      </w:r>
      <w:r w:rsidR="007562E2" w:rsidRPr="007562E2">
        <w:t xml:space="preserve"> to the next generation</w:t>
      </w:r>
      <w:r w:rsidR="00DD71E1">
        <w:t xml:space="preserve">, </w:t>
      </w:r>
      <w:r>
        <w:t xml:space="preserve">should actively </w:t>
      </w:r>
      <w:r w:rsidR="00DD71E1">
        <w:t>consider</w:t>
      </w:r>
      <w:r w:rsidR="007562E2" w:rsidRPr="007562E2">
        <w:t xml:space="preserve"> how </w:t>
      </w:r>
      <w:r w:rsidRPr="00BF1A4D">
        <w:t>their clients</w:t>
      </w:r>
      <w:r>
        <w:t>’</w:t>
      </w:r>
      <w:r w:rsidR="007562E2" w:rsidRPr="007562E2">
        <w:t xml:space="preserve"> pension </w:t>
      </w:r>
      <w:r w:rsidRPr="00BF1A4D">
        <w:t xml:space="preserve">arrangements </w:t>
      </w:r>
      <w:r w:rsidR="007562E2" w:rsidRPr="007562E2">
        <w:t xml:space="preserve">now fit into </w:t>
      </w:r>
      <w:r>
        <w:t>their</w:t>
      </w:r>
      <w:r w:rsidR="007562E2" w:rsidRPr="007562E2">
        <w:t xml:space="preserve"> wider inheritance tax, income tax and succession planning position.</w:t>
      </w:r>
    </w:p>
    <w:p w14:paraId="4074BF6F" w14:textId="29F533C3" w:rsidR="0021423F" w:rsidRDefault="00BF1A4D" w:rsidP="001A18F9">
      <w:r>
        <w:t>W</w:t>
      </w:r>
      <w:r w:rsidRPr="00BF1A4D">
        <w:t xml:space="preserve">e </w:t>
      </w:r>
      <w:r>
        <w:t xml:space="preserve">are happy to </w:t>
      </w:r>
      <w:r w:rsidRPr="00BF1A4D">
        <w:t xml:space="preserve">provide technical input, second opinions, or client-facing advice </w:t>
      </w:r>
      <w:r>
        <w:t xml:space="preserve">to </w:t>
      </w:r>
      <w:r w:rsidRPr="00BF1A4D">
        <w:t xml:space="preserve">accountants and other professionals  on the </w:t>
      </w:r>
      <w:r>
        <w:t xml:space="preserve">IHT </w:t>
      </w:r>
      <w:r w:rsidRPr="00BF1A4D">
        <w:t>and wider tax implications of the new regime</w:t>
      </w:r>
      <w:r>
        <w:t>, as well as IHT planning in general</w:t>
      </w:r>
      <w:r w:rsidRPr="00BF1A4D">
        <w:t>.</w:t>
      </w:r>
    </w:p>
    <w:sectPr w:rsidR="00214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val="bestFit" w:percent="179"/>
  <w:proofState w:spelling="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6D9"/>
    <w:rsid w:val="001A18F9"/>
    <w:rsid w:val="0021423F"/>
    <w:rsid w:val="002A5108"/>
    <w:rsid w:val="00310577"/>
    <w:rsid w:val="00331F1A"/>
    <w:rsid w:val="003878AD"/>
    <w:rsid w:val="00553F0C"/>
    <w:rsid w:val="006178EB"/>
    <w:rsid w:val="0067736B"/>
    <w:rsid w:val="006868B6"/>
    <w:rsid w:val="007562E2"/>
    <w:rsid w:val="00977645"/>
    <w:rsid w:val="00B10BA0"/>
    <w:rsid w:val="00BF1A4D"/>
    <w:rsid w:val="00C0224E"/>
    <w:rsid w:val="00D00DF7"/>
    <w:rsid w:val="00D24D93"/>
    <w:rsid w:val="00DD71E1"/>
    <w:rsid w:val="00E836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7BB6"/>
  <w15:chartTrackingRefBased/>
  <w15:docId w15:val="{4B0C830A-EFEA-4740-99E2-8269D398A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8AD"/>
  </w:style>
  <w:style w:type="paragraph" w:styleId="Heading1">
    <w:name w:val="heading 1"/>
    <w:basedOn w:val="Normal"/>
    <w:next w:val="Normal"/>
    <w:link w:val="Heading1Char"/>
    <w:uiPriority w:val="9"/>
    <w:qFormat/>
    <w:rsid w:val="00387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8AD"/>
    <w:rPr>
      <w:rFonts w:eastAsiaTheme="majorEastAsia" w:cstheme="majorBidi"/>
      <w:color w:val="272727" w:themeColor="text1" w:themeTint="D8"/>
    </w:rPr>
  </w:style>
  <w:style w:type="paragraph" w:styleId="Title">
    <w:name w:val="Title"/>
    <w:basedOn w:val="Normal"/>
    <w:next w:val="Normal"/>
    <w:link w:val="TitleChar"/>
    <w:uiPriority w:val="10"/>
    <w:qFormat/>
    <w:rsid w:val="00387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8A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878AD"/>
    <w:pPr>
      <w:ind w:left="720"/>
      <w:contextualSpacing/>
    </w:pPr>
  </w:style>
  <w:style w:type="paragraph" w:styleId="Quote">
    <w:name w:val="Quote"/>
    <w:basedOn w:val="Normal"/>
    <w:next w:val="Normal"/>
    <w:link w:val="QuoteChar"/>
    <w:uiPriority w:val="29"/>
    <w:qFormat/>
    <w:rsid w:val="003878AD"/>
    <w:pPr>
      <w:spacing w:before="160"/>
      <w:jc w:val="center"/>
    </w:pPr>
    <w:rPr>
      <w:i/>
      <w:iCs/>
      <w:color w:val="404040" w:themeColor="text1" w:themeTint="BF"/>
    </w:rPr>
  </w:style>
  <w:style w:type="character" w:customStyle="1" w:styleId="QuoteChar">
    <w:name w:val="Quote Char"/>
    <w:basedOn w:val="DefaultParagraphFont"/>
    <w:link w:val="Quote"/>
    <w:uiPriority w:val="29"/>
    <w:rsid w:val="003878AD"/>
    <w:rPr>
      <w:i/>
      <w:iCs/>
      <w:color w:val="404040" w:themeColor="text1" w:themeTint="BF"/>
    </w:rPr>
  </w:style>
  <w:style w:type="paragraph" w:styleId="IntenseQuote">
    <w:name w:val="Intense Quote"/>
    <w:basedOn w:val="Normal"/>
    <w:next w:val="Normal"/>
    <w:link w:val="IntenseQuoteChar"/>
    <w:uiPriority w:val="30"/>
    <w:qFormat/>
    <w:rsid w:val="00387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8AD"/>
    <w:rPr>
      <w:i/>
      <w:iCs/>
      <w:color w:val="0F4761" w:themeColor="accent1" w:themeShade="BF"/>
    </w:rPr>
  </w:style>
  <w:style w:type="character" w:styleId="IntenseEmphasis">
    <w:name w:val="Intense Emphasis"/>
    <w:basedOn w:val="DefaultParagraphFont"/>
    <w:uiPriority w:val="21"/>
    <w:qFormat/>
    <w:rsid w:val="003878AD"/>
    <w:rPr>
      <w:i/>
      <w:iCs/>
      <w:color w:val="0F4761" w:themeColor="accent1" w:themeShade="BF"/>
    </w:rPr>
  </w:style>
  <w:style w:type="character" w:styleId="IntenseReference">
    <w:name w:val="Intense Reference"/>
    <w:basedOn w:val="DefaultParagraphFont"/>
    <w:uiPriority w:val="32"/>
    <w:qFormat/>
    <w:rsid w:val="003878AD"/>
    <w:rPr>
      <w:b/>
      <w:bCs/>
      <w:smallCaps/>
      <w:color w:val="0F4761" w:themeColor="accent1" w:themeShade="BF"/>
      <w:spacing w:val="5"/>
    </w:rPr>
  </w:style>
  <w:style w:type="character" w:styleId="Hyperlink">
    <w:name w:val="Hyperlink"/>
    <w:basedOn w:val="DefaultParagraphFont"/>
    <w:uiPriority w:val="99"/>
    <w:unhideWhenUsed/>
    <w:rsid w:val="001A18F9"/>
    <w:rPr>
      <w:color w:val="467886" w:themeColor="hyperlink"/>
      <w:u w:val="single"/>
    </w:rPr>
  </w:style>
  <w:style w:type="character" w:styleId="UnresolvedMention">
    <w:name w:val="Unresolved Mention"/>
    <w:basedOn w:val="DefaultParagraphFont"/>
    <w:uiPriority w:val="99"/>
    <w:semiHidden/>
    <w:unhideWhenUsed/>
    <w:rsid w:val="001A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455</Words>
  <Characters>2595</Characters>
  <Application>Microsoft Office Word</Application>
  <DocSecurity>2</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Kavanagh</dc:creator>
  <cp:keywords/>
  <dc:description/>
  <cp:lastModifiedBy>John Kavanagh</cp:lastModifiedBy>
  <cp:revision>2</cp:revision>
  <dcterms:created xsi:type="dcterms:W3CDTF">2026-06-16T18:02:00Z</dcterms:created>
  <dcterms:modified xsi:type="dcterms:W3CDTF">2026-06-16T19:47:00Z</dcterms:modified>
</cp:coreProperties>
</file>