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0FC2" w14:textId="7415B50A" w:rsidR="009E5083" w:rsidRPr="004A49CC" w:rsidRDefault="009E5083" w:rsidP="009E5083">
      <w:pPr>
        <w:rPr>
          <w:b/>
          <w:bCs/>
        </w:rPr>
      </w:pPr>
      <w:bookmarkStart w:id="0" w:name="OLE_LINK2"/>
      <w:r w:rsidRPr="004A49CC">
        <w:rPr>
          <w:b/>
          <w:bCs/>
        </w:rPr>
        <w:t>The Foreign Income and Gains (FIG) Regime</w:t>
      </w:r>
    </w:p>
    <w:p w14:paraId="618052E1" w14:textId="3C219DA2" w:rsidR="009E5083" w:rsidRDefault="009E5083" w:rsidP="009E5083">
      <w:r w:rsidRPr="009E5083">
        <w:t>Until 5 April 2025, certain UK resident individuals who were not domiciled in the UK could claim the remittance basis, under which foreign income and gains were generally taxed only if and when remitted to the UK. Domicile, in this context, meant broadly the country regarded as the person’s permanent home, rather than simply where they happened to be living</w:t>
      </w:r>
      <w:r w:rsidR="004A49CC">
        <w:t xml:space="preserve">, and was a separate </w:t>
      </w:r>
      <w:r w:rsidR="00531B24">
        <w:t xml:space="preserve">and distinct </w:t>
      </w:r>
      <w:r w:rsidR="004A49CC">
        <w:t>concept to that of tax residence</w:t>
      </w:r>
      <w:r w:rsidRPr="009E5083">
        <w:t>.</w:t>
      </w:r>
    </w:p>
    <w:p w14:paraId="337FE573" w14:textId="5AEBA18C" w:rsidR="009E5083" w:rsidRDefault="009E5083" w:rsidP="009E5083">
      <w:r w:rsidRPr="009E5083">
        <w:t>In practice, however, th</w:t>
      </w:r>
      <w:r w:rsidR="00531B24">
        <w:t>e domicile-based</w:t>
      </w:r>
      <w:r w:rsidRPr="009E5083">
        <w:t xml:space="preserve"> regime had already become much less generous over time. </w:t>
      </w:r>
      <w:r w:rsidR="000E19BD">
        <w:t>Towards the end of the regime, l</w:t>
      </w:r>
      <w:r w:rsidRPr="009E5083">
        <w:t xml:space="preserve">onger-term UK residents </w:t>
      </w:r>
      <w:r>
        <w:t xml:space="preserve">would have to pay a hefty </w:t>
      </w:r>
      <w:r w:rsidRPr="009E5083">
        <w:t xml:space="preserve">remittance basis </w:t>
      </w:r>
      <w:r>
        <w:t xml:space="preserve">user </w:t>
      </w:r>
      <w:r w:rsidRPr="009E5083">
        <w:t xml:space="preserve">charge, and from 6 April 2017 the deemed domicile rules meant that many individuals who had been UK resident for 15 of the previous 20 tax years could no longer access the remittance basis at all. By that stage, the domicile-based regime had become much less relevant to ordinary internationally mobile individuals and much more </w:t>
      </w:r>
      <w:r>
        <w:t xml:space="preserve">useful to </w:t>
      </w:r>
      <w:r w:rsidR="000E19BD">
        <w:t>billionaires and others</w:t>
      </w:r>
      <w:r>
        <w:t xml:space="preserve"> with</w:t>
      </w:r>
      <w:r w:rsidRPr="009E5083">
        <w:t xml:space="preserve"> substantial </w:t>
      </w:r>
      <w:r w:rsidR="000E19BD">
        <w:t>international assets.</w:t>
      </w:r>
    </w:p>
    <w:p w14:paraId="4FF416EC" w14:textId="48C6D44F" w:rsidR="009E5083" w:rsidRDefault="009E5083" w:rsidP="009E5083">
      <w:r w:rsidRPr="009E5083">
        <w:t xml:space="preserve">From 6 April 2025, however, the remittance basis was abolished and domicile ceased to be </w:t>
      </w:r>
      <w:r>
        <w:t xml:space="preserve">a relevant factor for income tax and capital gains tax </w:t>
      </w:r>
      <w:r w:rsidRPr="009E5083">
        <w:t xml:space="preserve">purposes. The regime </w:t>
      </w:r>
      <w:r>
        <w:t xml:space="preserve">that replaced it </w:t>
      </w:r>
      <w:r w:rsidRPr="009E5083">
        <w:t xml:space="preserve">is instead based </w:t>
      </w:r>
      <w:r w:rsidR="00663CBF">
        <w:t xml:space="preserve">purely </w:t>
      </w:r>
      <w:r w:rsidRPr="009E5083">
        <w:t xml:space="preserve">on tax residence, with a four-year FIG regime available for qualifying new </w:t>
      </w:r>
      <w:r w:rsidR="000E19BD">
        <w:t>residents</w:t>
      </w:r>
      <w:r w:rsidR="00531B24">
        <w:t xml:space="preserve"> to shelter foreign income and gains from tax during that period</w:t>
      </w:r>
      <w:r>
        <w:t>.</w:t>
      </w:r>
    </w:p>
    <w:p w14:paraId="3398818E" w14:textId="378C474C" w:rsidR="00663CBF" w:rsidRPr="009E5083" w:rsidRDefault="009E5083" w:rsidP="009E5083">
      <w:r w:rsidRPr="009E5083">
        <w:t>Th</w:t>
      </w:r>
      <w:r w:rsidR="00531B24">
        <w:t>is</w:t>
      </w:r>
      <w:r w:rsidRPr="009E5083">
        <w:t xml:space="preserve"> new regime is potentially very attractive</w:t>
      </w:r>
      <w:r w:rsidR="00531B24">
        <w:t xml:space="preserve"> to qualifying new residents</w:t>
      </w:r>
      <w:r w:rsidRPr="009E5083">
        <w:t xml:space="preserve">, but only for the right client and only if the timing is understood properly. </w:t>
      </w:r>
      <w:r w:rsidR="000E19BD">
        <w:t>A</w:t>
      </w:r>
      <w:r w:rsidRPr="009E5083">
        <w:t xml:space="preserve"> new</w:t>
      </w:r>
      <w:r w:rsidR="00246900">
        <w:t>ly</w:t>
      </w:r>
      <w:r w:rsidRPr="009E5083">
        <w:t xml:space="preserve"> </w:t>
      </w:r>
      <w:r w:rsidR="000E19BD">
        <w:t xml:space="preserve">UK </w:t>
      </w:r>
      <w:r w:rsidRPr="009E5083">
        <w:t xml:space="preserve">resident </w:t>
      </w:r>
      <w:r w:rsidR="00246900">
        <w:t xml:space="preserve">individual </w:t>
      </w:r>
      <w:r w:rsidRPr="009E5083">
        <w:t xml:space="preserve">can claim relief under the FIG regime for up to four tax years, provided </w:t>
      </w:r>
      <w:r w:rsidR="00246900">
        <w:t>he or she has</w:t>
      </w:r>
      <w:r w:rsidRPr="009E5083">
        <w:t xml:space="preserve"> been non-UK resident for at least ten consecutive tax years before becoming UK resident</w:t>
      </w:r>
      <w:r w:rsidR="00531B24">
        <w:t>.</w:t>
      </w:r>
      <w:r w:rsidRPr="009E5083">
        <w:t xml:space="preserve"> </w:t>
      </w:r>
    </w:p>
    <w:p w14:paraId="3152868E" w14:textId="7D117343" w:rsidR="00663CBF" w:rsidRDefault="00663CBF" w:rsidP="009E5083">
      <w:r w:rsidRPr="00663CBF">
        <w:t xml:space="preserve">The FIG regime is technically </w:t>
      </w:r>
      <w:r w:rsidR="00246900">
        <w:t>refreshingly</w:t>
      </w:r>
      <w:r w:rsidRPr="00663CBF">
        <w:t xml:space="preserve"> simple</w:t>
      </w:r>
      <w:r w:rsidR="00246900">
        <w:t xml:space="preserve"> </w:t>
      </w:r>
      <w:r w:rsidR="00531B24">
        <w:t>compared to much</w:t>
      </w:r>
      <w:r w:rsidR="00246900">
        <w:t xml:space="preserve"> UK tax legislation</w:t>
      </w:r>
      <w:r w:rsidRPr="00663CBF">
        <w:t xml:space="preserve">. </w:t>
      </w:r>
      <w:r w:rsidR="00246900">
        <w:t>T</w:t>
      </w:r>
      <w:r w:rsidRPr="00663CBF">
        <w:t>he main issue</w:t>
      </w:r>
      <w:r w:rsidR="00246900">
        <w:t>s for advisers</w:t>
      </w:r>
      <w:r w:rsidRPr="00663CBF">
        <w:t xml:space="preserve"> </w:t>
      </w:r>
      <w:r w:rsidR="00246900">
        <w:t xml:space="preserve">and their clients to consider </w:t>
      </w:r>
      <w:r w:rsidRPr="00663CBF">
        <w:t xml:space="preserve">usually </w:t>
      </w:r>
      <w:r w:rsidR="00246900">
        <w:t>relate to</w:t>
      </w:r>
      <w:r w:rsidRPr="00663CBF">
        <w:t xml:space="preserve"> timing</w:t>
      </w:r>
      <w:r>
        <w:t xml:space="preserve">, </w:t>
      </w:r>
      <w:r w:rsidRPr="00663CBF">
        <w:t>particularly</w:t>
      </w:r>
      <w:r w:rsidR="00246900">
        <w:t xml:space="preserve"> regarding</w:t>
      </w:r>
      <w:r w:rsidRPr="00663CBF">
        <w:t xml:space="preserve"> when sources of foreign income and gains are likely to arise. Having established that a client qualifies for </w:t>
      </w:r>
      <w:proofErr w:type="gramStart"/>
      <w:r w:rsidRPr="00663CBF">
        <w:t>FIG</w:t>
      </w:r>
      <w:r>
        <w:t xml:space="preserve">, </w:t>
      </w:r>
      <w:r w:rsidRPr="00663CBF">
        <w:t>and</w:t>
      </w:r>
      <w:proofErr w:type="gramEnd"/>
      <w:r w:rsidRPr="00663CBF">
        <w:t xml:space="preserve"> having reviewed the likely sources of foreign income and gains over the four-year period</w:t>
      </w:r>
      <w:r w:rsidR="004A49CC">
        <w:t xml:space="preserve"> commencing with the year of arrival</w:t>
      </w:r>
      <w:r>
        <w:t xml:space="preserve">, </w:t>
      </w:r>
      <w:r w:rsidRPr="00663CBF">
        <w:t xml:space="preserve">it is likely to be sensible to consider whether </w:t>
      </w:r>
      <w:r w:rsidR="00246900">
        <w:t xml:space="preserve">income or gains should be advanced, e.g., </w:t>
      </w:r>
      <w:r w:rsidRPr="00663CBF">
        <w:t>dividends paid, disposals engineered, or restructuring undertaken</w:t>
      </w:r>
      <w:r w:rsidR="00246900">
        <w:t>,</w:t>
      </w:r>
      <w:r w:rsidRPr="00663CBF">
        <w:t xml:space="preserve"> before UK residence commences.</w:t>
      </w:r>
    </w:p>
    <w:p w14:paraId="637319A8" w14:textId="7B92E667" w:rsidR="009E5083" w:rsidRPr="009E5083" w:rsidRDefault="009E5083" w:rsidP="009E5083">
      <w:r w:rsidRPr="009E5083">
        <w:t>For that reason, clients moving to the UK, returning after a long period abroad, or arranging their affairs in anticipation of UK residence may need advice much earlier than they expect.</w:t>
      </w:r>
      <w:r w:rsidR="00246900">
        <w:t xml:space="preserve"> </w:t>
      </w:r>
      <w:r w:rsidRPr="009E5083">
        <w:t xml:space="preserve">For accountants and other professional advisers, the main opportunity </w:t>
      </w:r>
      <w:r w:rsidR="000E19BD">
        <w:t xml:space="preserve">therefore </w:t>
      </w:r>
      <w:r w:rsidRPr="009E5083">
        <w:t>lies in identifying those clients</w:t>
      </w:r>
      <w:r w:rsidR="000E19BD">
        <w:t xml:space="preserve"> before they become UK resident wherever possible</w:t>
      </w:r>
      <w:r w:rsidRPr="009E5083">
        <w:t xml:space="preserve">. The clients most likely to need attention are internationally mobile individuals coming to the UK, </w:t>
      </w:r>
      <w:r w:rsidR="00246900">
        <w:t xml:space="preserve">who have either never been UK tax resident before or are </w:t>
      </w:r>
      <w:r w:rsidRPr="009E5083">
        <w:t xml:space="preserve">returning after a long period of non-residence, </w:t>
      </w:r>
      <w:r w:rsidR="000E19BD">
        <w:t xml:space="preserve">and especially those </w:t>
      </w:r>
      <w:r w:rsidRPr="009E5083">
        <w:t>with significant foreign income, gains, or offshore funds.</w:t>
      </w:r>
    </w:p>
    <w:p w14:paraId="7F7C5CEF" w14:textId="77777777" w:rsidR="004A49CC" w:rsidRDefault="009E5083" w:rsidP="009E5083">
      <w:r w:rsidRPr="009E5083">
        <w:t>This is an area in which timely advice may make a substantial difference to the outcome. A client who takes advice before becoming UK resident may have options which will no longer be available once the tax year has begun or the relevant income and gains have arisen.</w:t>
      </w:r>
    </w:p>
    <w:p w14:paraId="49AEF553" w14:textId="7B5E33FC" w:rsidR="0021423F" w:rsidRDefault="004A49CC">
      <w:r>
        <w:t>If your</w:t>
      </w:r>
      <w:r w:rsidRPr="004A49CC">
        <w:t xml:space="preserve"> client’s move to the UK raises questions about the FIG regime, </w:t>
      </w:r>
      <w:r>
        <w:t xml:space="preserve">or their wider tax planning, </w:t>
      </w:r>
      <w:r w:rsidRPr="004A49CC">
        <w:t>we can assist either behind the scenes or directly alongside the existing advisory team, depending on what is most useful in the circumstances. We work</w:t>
      </w:r>
      <w:r>
        <w:t xml:space="preserve"> regularly</w:t>
      </w:r>
      <w:r w:rsidRPr="004A49CC">
        <w:t xml:space="preserve"> with accountants and other advisers on precisely these </w:t>
      </w:r>
      <w:r>
        <w:t xml:space="preserve">kinds of </w:t>
      </w:r>
      <w:r w:rsidRPr="004A49CC">
        <w:t xml:space="preserve">cross-border issues, </w:t>
      </w:r>
      <w:r w:rsidR="00531B24">
        <w:t>both</w:t>
      </w:r>
      <w:r w:rsidRPr="004A49CC">
        <w:t xml:space="preserve"> at the stage of initial planning </w:t>
      </w:r>
      <w:r w:rsidR="00531B24">
        <w:t>and</w:t>
      </w:r>
      <w:r w:rsidRPr="004A49CC">
        <w:t xml:space="preserve"> </w:t>
      </w:r>
      <w:r>
        <w:t>if</w:t>
      </w:r>
      <w:r w:rsidRPr="004A49CC">
        <w:t xml:space="preserve"> specific point</w:t>
      </w:r>
      <w:r>
        <w:t>s</w:t>
      </w:r>
      <w:r w:rsidRPr="004A49CC">
        <w:t xml:space="preserve"> need to be resolved.</w:t>
      </w:r>
      <w:bookmarkEnd w:id="0"/>
    </w:p>
    <w:sectPr w:rsidR="002142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val="bestFit" w:percent="179"/>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83"/>
    <w:rsid w:val="000E19BD"/>
    <w:rsid w:val="0021423F"/>
    <w:rsid w:val="00246900"/>
    <w:rsid w:val="002A5108"/>
    <w:rsid w:val="003878AD"/>
    <w:rsid w:val="004A49CC"/>
    <w:rsid w:val="00531B24"/>
    <w:rsid w:val="00663CBF"/>
    <w:rsid w:val="006868B6"/>
    <w:rsid w:val="00977645"/>
    <w:rsid w:val="0098725B"/>
    <w:rsid w:val="009E5083"/>
    <w:rsid w:val="00AD5ADD"/>
    <w:rsid w:val="00D24D93"/>
    <w:rsid w:val="00D439E7"/>
    <w:rsid w:val="00F347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4A76D"/>
  <w15:chartTrackingRefBased/>
  <w15:docId w15:val="{EDF1E1AE-8154-4200-9DFA-ACA80D781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8AD"/>
  </w:style>
  <w:style w:type="paragraph" w:styleId="Heading1">
    <w:name w:val="heading 1"/>
    <w:basedOn w:val="Normal"/>
    <w:next w:val="Normal"/>
    <w:link w:val="Heading1Char"/>
    <w:uiPriority w:val="9"/>
    <w:qFormat/>
    <w:rsid w:val="00387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7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7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7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7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7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7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7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8AD"/>
    <w:rPr>
      <w:rFonts w:eastAsiaTheme="majorEastAsia" w:cstheme="majorBidi"/>
      <w:color w:val="272727" w:themeColor="text1" w:themeTint="D8"/>
    </w:rPr>
  </w:style>
  <w:style w:type="paragraph" w:styleId="Title">
    <w:name w:val="Title"/>
    <w:basedOn w:val="Normal"/>
    <w:next w:val="Normal"/>
    <w:link w:val="TitleChar"/>
    <w:uiPriority w:val="10"/>
    <w:qFormat/>
    <w:rsid w:val="00387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8A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3878AD"/>
    <w:pPr>
      <w:ind w:left="720"/>
      <w:contextualSpacing/>
    </w:pPr>
  </w:style>
  <w:style w:type="paragraph" w:styleId="Quote">
    <w:name w:val="Quote"/>
    <w:basedOn w:val="Normal"/>
    <w:next w:val="Normal"/>
    <w:link w:val="QuoteChar"/>
    <w:uiPriority w:val="29"/>
    <w:qFormat/>
    <w:rsid w:val="003878AD"/>
    <w:pPr>
      <w:spacing w:before="160"/>
      <w:jc w:val="center"/>
    </w:pPr>
    <w:rPr>
      <w:i/>
      <w:iCs/>
      <w:color w:val="404040" w:themeColor="text1" w:themeTint="BF"/>
    </w:rPr>
  </w:style>
  <w:style w:type="character" w:customStyle="1" w:styleId="QuoteChar">
    <w:name w:val="Quote Char"/>
    <w:basedOn w:val="DefaultParagraphFont"/>
    <w:link w:val="Quote"/>
    <w:uiPriority w:val="29"/>
    <w:rsid w:val="003878AD"/>
    <w:rPr>
      <w:i/>
      <w:iCs/>
      <w:color w:val="404040" w:themeColor="text1" w:themeTint="BF"/>
    </w:rPr>
  </w:style>
  <w:style w:type="paragraph" w:styleId="IntenseQuote">
    <w:name w:val="Intense Quote"/>
    <w:basedOn w:val="Normal"/>
    <w:next w:val="Normal"/>
    <w:link w:val="IntenseQuoteChar"/>
    <w:uiPriority w:val="30"/>
    <w:qFormat/>
    <w:rsid w:val="00387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78AD"/>
    <w:rPr>
      <w:i/>
      <w:iCs/>
      <w:color w:val="0F4761" w:themeColor="accent1" w:themeShade="BF"/>
    </w:rPr>
  </w:style>
  <w:style w:type="character" w:styleId="IntenseEmphasis">
    <w:name w:val="Intense Emphasis"/>
    <w:basedOn w:val="DefaultParagraphFont"/>
    <w:uiPriority w:val="21"/>
    <w:qFormat/>
    <w:rsid w:val="003878AD"/>
    <w:rPr>
      <w:i/>
      <w:iCs/>
      <w:color w:val="0F4761" w:themeColor="accent1" w:themeShade="BF"/>
    </w:rPr>
  </w:style>
  <w:style w:type="character" w:styleId="IntenseReference">
    <w:name w:val="Intense Reference"/>
    <w:basedOn w:val="DefaultParagraphFont"/>
    <w:uiPriority w:val="32"/>
    <w:qFormat/>
    <w:rsid w:val="003878AD"/>
    <w:rPr>
      <w:b/>
      <w:bCs/>
      <w:smallCaps/>
      <w:color w:val="0F4761" w:themeColor="accent1" w:themeShade="BF"/>
      <w:spacing w:val="5"/>
    </w:rPr>
  </w:style>
  <w:style w:type="character" w:styleId="Hyperlink">
    <w:name w:val="Hyperlink"/>
    <w:basedOn w:val="DefaultParagraphFont"/>
    <w:uiPriority w:val="99"/>
    <w:unhideWhenUsed/>
    <w:rsid w:val="009E5083"/>
    <w:rPr>
      <w:color w:val="467886" w:themeColor="hyperlink"/>
      <w:u w:val="single"/>
    </w:rPr>
  </w:style>
  <w:style w:type="character" w:styleId="UnresolvedMention">
    <w:name w:val="Unresolved Mention"/>
    <w:basedOn w:val="DefaultParagraphFont"/>
    <w:uiPriority w:val="99"/>
    <w:semiHidden/>
    <w:unhideWhenUsed/>
    <w:rsid w:val="009E5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559</Words>
  <Characters>3189</Characters>
  <Application>Microsoft Office Word</Application>
  <DocSecurity>2</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Kavanagh</dc:creator>
  <cp:keywords/>
  <dc:description/>
  <cp:lastModifiedBy>John Kavanagh</cp:lastModifiedBy>
  <cp:revision>3</cp:revision>
  <dcterms:created xsi:type="dcterms:W3CDTF">2026-06-16T19:56:00Z</dcterms:created>
  <dcterms:modified xsi:type="dcterms:W3CDTF">2026-06-16T21:00:00Z</dcterms:modified>
</cp:coreProperties>
</file>