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E0349" w14:textId="7DB71885" w:rsidR="0055105A" w:rsidRPr="004855EE" w:rsidRDefault="00671C83" w:rsidP="0055105A">
      <w:pPr>
        <w:rPr>
          <w:b/>
          <w:bCs/>
        </w:rPr>
      </w:pPr>
      <w:r w:rsidRPr="004855EE">
        <w:rPr>
          <w:b/>
          <w:bCs/>
        </w:rPr>
        <w:t>Inheritance Tax B</w:t>
      </w:r>
      <w:r w:rsidR="0055105A" w:rsidRPr="004855EE">
        <w:rPr>
          <w:b/>
          <w:bCs/>
        </w:rPr>
        <w:t xml:space="preserve">usiness </w:t>
      </w:r>
      <w:r w:rsidRPr="004855EE">
        <w:rPr>
          <w:b/>
          <w:bCs/>
        </w:rPr>
        <w:t>R</w:t>
      </w:r>
      <w:r w:rsidR="0055105A" w:rsidRPr="004855EE">
        <w:rPr>
          <w:b/>
          <w:bCs/>
        </w:rPr>
        <w:t xml:space="preserve">elief </w:t>
      </w:r>
      <w:r w:rsidR="00280FBB" w:rsidRPr="004855EE">
        <w:rPr>
          <w:b/>
          <w:bCs/>
        </w:rPr>
        <w:t xml:space="preserve">and Agricultural Relief </w:t>
      </w:r>
      <w:r w:rsidR="0055105A" w:rsidRPr="004855EE">
        <w:rPr>
          <w:b/>
          <w:bCs/>
        </w:rPr>
        <w:t xml:space="preserve">after </w:t>
      </w:r>
      <w:r w:rsidRPr="004855EE">
        <w:rPr>
          <w:b/>
          <w:bCs/>
        </w:rPr>
        <w:t>6</w:t>
      </w:r>
      <w:r w:rsidR="0055105A" w:rsidRPr="004855EE">
        <w:rPr>
          <w:b/>
          <w:bCs/>
        </w:rPr>
        <w:t xml:space="preserve"> </w:t>
      </w:r>
      <w:r w:rsidRPr="004855EE">
        <w:rPr>
          <w:b/>
          <w:bCs/>
        </w:rPr>
        <w:t>April 2026</w:t>
      </w:r>
    </w:p>
    <w:p w14:paraId="18A272B6" w14:textId="0DE7ADBF" w:rsidR="0055105A" w:rsidRDefault="0055105A" w:rsidP="0055105A">
      <w:r w:rsidRPr="0055105A">
        <w:t xml:space="preserve">For the past thirty years, inheritance tax </w:t>
      </w:r>
      <w:r w:rsidR="00280FBB">
        <w:t xml:space="preserve">planning </w:t>
      </w:r>
      <w:r w:rsidRPr="0055105A">
        <w:t>has not been a</w:t>
      </w:r>
      <w:r w:rsidR="00280FBB">
        <w:t>n</w:t>
      </w:r>
      <w:r w:rsidRPr="0055105A">
        <w:t xml:space="preserve"> issue that many owner-managed trading business owners</w:t>
      </w:r>
      <w:r w:rsidR="00771621">
        <w:t xml:space="preserve"> – or farmers - </w:t>
      </w:r>
      <w:r w:rsidRPr="0055105A">
        <w:t>have had to think about very much</w:t>
      </w:r>
      <w:r>
        <w:t xml:space="preserve">. </w:t>
      </w:r>
      <w:r w:rsidRPr="0055105A">
        <w:t>Both Conservative and Labour governments have taken the view that passing down the family business on death is not something that should be made difficult by considerations of inheritance tax</w:t>
      </w:r>
      <w:r>
        <w:t xml:space="preserve">. </w:t>
      </w:r>
      <w:r w:rsidRPr="0055105A">
        <w:t xml:space="preserve">But the current Labour government has </w:t>
      </w:r>
      <w:r w:rsidR="00280FBB">
        <w:t xml:space="preserve">famously and controversially </w:t>
      </w:r>
      <w:r w:rsidRPr="0055105A">
        <w:t xml:space="preserve">broken that </w:t>
      </w:r>
      <w:r w:rsidR="00671C83">
        <w:t>long-lasting</w:t>
      </w:r>
      <w:r w:rsidRPr="0055105A">
        <w:t xml:space="preserve"> consensus. For many SMEs </w:t>
      </w:r>
      <w:r w:rsidR="00671C83">
        <w:t xml:space="preserve">the luxury of </w:t>
      </w:r>
      <w:r w:rsidRPr="0055105A">
        <w:t xml:space="preserve">doing nothing </w:t>
      </w:r>
      <w:r w:rsidR="00671C83">
        <w:t xml:space="preserve">knowing that </w:t>
      </w:r>
      <w:r w:rsidR="00771621">
        <w:t xml:space="preserve">unlimited </w:t>
      </w:r>
      <w:r w:rsidR="00671C83">
        <w:t xml:space="preserve">100% relief from IHT was available as in the past </w:t>
      </w:r>
      <w:r w:rsidRPr="0055105A">
        <w:t xml:space="preserve">is no longer </w:t>
      </w:r>
      <w:r w:rsidR="00671C83">
        <w:t>available</w:t>
      </w:r>
      <w:r w:rsidRPr="0055105A">
        <w:t>.</w:t>
      </w:r>
    </w:p>
    <w:p w14:paraId="44984A8B" w14:textId="63CE406C" w:rsidR="00671C83" w:rsidRDefault="0055105A" w:rsidP="0055105A">
      <w:r w:rsidRPr="0055105A">
        <w:t xml:space="preserve">For deaths and lifetime transfers on or after 6 April 2026, 100% relief for qualifying business and agricultural property is capped at £2.5 million. The excess </w:t>
      </w:r>
      <w:r w:rsidR="00671C83">
        <w:t xml:space="preserve">above that figure </w:t>
      </w:r>
      <w:r w:rsidRPr="0055105A">
        <w:t>attracts relief at 50% but that obviously leaves the remaining 50% exposed to IHT</w:t>
      </w:r>
      <w:r w:rsidR="003C5B14">
        <w:t xml:space="preserve">, </w:t>
      </w:r>
      <w:r w:rsidR="003C5B14" w:rsidRPr="003C5B14">
        <w:t>even in a wholly trading business</w:t>
      </w:r>
      <w:r w:rsidRPr="0055105A">
        <w:t>.</w:t>
      </w:r>
      <w:r w:rsidR="00F72212" w:rsidRPr="00F72212">
        <w:t xml:space="preserve"> </w:t>
      </w:r>
      <w:r w:rsidR="00671C83">
        <w:t>The objective, therefore, is to minimise the IHT as far as possible, and to the extent that there remains any liability, which may be the case however exhaustive and effective the planning, to take appropriate steps to fund it.</w:t>
      </w:r>
    </w:p>
    <w:p w14:paraId="4B751282" w14:textId="660471E6" w:rsidR="00F72212" w:rsidRDefault="00F1796B" w:rsidP="0055105A">
      <w:r>
        <w:t xml:space="preserve">While </w:t>
      </w:r>
      <w:r w:rsidR="00671C83">
        <w:t>it is possible</w:t>
      </w:r>
      <w:r w:rsidR="00F72212" w:rsidRPr="00F72212">
        <w:t xml:space="preserve"> to transfer the unused £2.5 million allowance from a deceased spouse or civil partner to the living spouse</w:t>
      </w:r>
      <w:r>
        <w:t xml:space="preserve"> or civil partner</w:t>
      </w:r>
      <w:r w:rsidR="00F72212">
        <w:t xml:space="preserve">, </w:t>
      </w:r>
      <w:r w:rsidR="00F72212" w:rsidRPr="00F72212">
        <w:t>many business owners will still find that a future IHT exposure now exists where previously there would be none.</w:t>
      </w:r>
      <w:r w:rsidR="00F72212">
        <w:t xml:space="preserve"> </w:t>
      </w:r>
      <w:r w:rsidR="00F72212" w:rsidRPr="00F72212">
        <w:t>In many instances this changes the whole conversation about business succession and tax planning</w:t>
      </w:r>
      <w:r w:rsidR="00F72212">
        <w:t>.</w:t>
      </w:r>
      <w:r>
        <w:t xml:space="preserve"> There are essentially two options; optimise the business relief position or fund the likely tax, with the best approach often being a combination of the two.</w:t>
      </w:r>
    </w:p>
    <w:p w14:paraId="792027ED" w14:textId="77777777" w:rsidR="00EC44A2" w:rsidRDefault="00EC44A2" w:rsidP="0055105A">
      <w:r w:rsidRPr="00EC44A2">
        <w:t>The changes also affect current and previous lifetime planning. The £2.5 million 100% relief allowance takes into account qualifying business and agricultural property transferred on or after 30 October 2024 where the transferor dies within seven years and on or after 6 April 2026. That means not only failed Potentially Exempt Transfers, but also earlier chargeable lifetime transfers, can reduce the amount of 100% relief available against the estate on death, even where the transfer was made before the new rules came fully into effect</w:t>
      </w:r>
      <w:r>
        <w:t>.</w:t>
      </w:r>
    </w:p>
    <w:p w14:paraId="244A6C6D" w14:textId="7A095583" w:rsidR="00771621" w:rsidRDefault="00771621" w:rsidP="0055105A">
      <w:r w:rsidRPr="00771621">
        <w:t xml:space="preserve">A </w:t>
      </w:r>
      <w:r>
        <w:t>new</w:t>
      </w:r>
      <w:r w:rsidRPr="00771621">
        <w:t xml:space="preserve"> rule </w:t>
      </w:r>
      <w:r w:rsidR="00EC44A2">
        <w:t xml:space="preserve">also </w:t>
      </w:r>
      <w:r w:rsidRPr="00771621">
        <w:t xml:space="preserve">applies to shares traded on recognised stock exchanges </w:t>
      </w:r>
      <w:r w:rsidR="00EC44A2">
        <w:t xml:space="preserve">such as AIM </w:t>
      </w:r>
      <w:r w:rsidRPr="00771621">
        <w:t xml:space="preserve">but designated as </w:t>
      </w:r>
      <w:r>
        <w:t>‘</w:t>
      </w:r>
      <w:r w:rsidRPr="00771621">
        <w:t>not listed</w:t>
      </w:r>
      <w:r>
        <w:t>’ for IHT purposes</w:t>
      </w:r>
      <w:r w:rsidRPr="00771621">
        <w:t xml:space="preserve">. Although these have historically been capable of qualifying for 100% business relief, from 6 April 2026 they will </w:t>
      </w:r>
      <w:r w:rsidR="004855EE">
        <w:t>only</w:t>
      </w:r>
      <w:r w:rsidRPr="00771621">
        <w:t xml:space="preserve"> qualify for relief at 50%. </w:t>
      </w:r>
    </w:p>
    <w:p w14:paraId="0CF4D55E" w14:textId="1FBA4F7D" w:rsidR="00671C83" w:rsidRPr="0055105A" w:rsidRDefault="00F72212" w:rsidP="0055105A">
      <w:r w:rsidRPr="00F72212">
        <w:t>For our professional firm clients</w:t>
      </w:r>
      <w:r w:rsidR="004855EE">
        <w:t xml:space="preserve"> and contacts</w:t>
      </w:r>
      <w:r w:rsidRPr="00F72212">
        <w:t>, th</w:t>
      </w:r>
      <w:r w:rsidR="00280FBB">
        <w:t>ese changes</w:t>
      </w:r>
      <w:r w:rsidRPr="00F72212">
        <w:t xml:space="preserve"> </w:t>
      </w:r>
      <w:r w:rsidR="00EC44A2">
        <w:t xml:space="preserve">clearly </w:t>
      </w:r>
      <w:r w:rsidRPr="00F72212">
        <w:t>create an advisory opportunity</w:t>
      </w:r>
      <w:r>
        <w:t xml:space="preserve">, </w:t>
      </w:r>
      <w:r w:rsidR="00F1796B" w:rsidRPr="00F1796B">
        <w:t>and one which should be addressed early on in the best interests of the client</w:t>
      </w:r>
      <w:r>
        <w:t xml:space="preserve">. </w:t>
      </w:r>
      <w:r>
        <w:t xml:space="preserve">The first step is </w:t>
      </w:r>
      <w:r w:rsidRPr="00F72212">
        <w:t xml:space="preserve">obviously </w:t>
      </w:r>
      <w:r>
        <w:t xml:space="preserve">to identify </w:t>
      </w:r>
      <w:r w:rsidRPr="00F72212">
        <w:t xml:space="preserve">those </w:t>
      </w:r>
      <w:r>
        <w:t>clients whose estates may be exposed</w:t>
      </w:r>
      <w:r>
        <w:t xml:space="preserve">, </w:t>
      </w:r>
      <w:r w:rsidRPr="00F72212">
        <w:t xml:space="preserve">either now or </w:t>
      </w:r>
      <w:r w:rsidR="00EC44A2">
        <w:t xml:space="preserve">possibly </w:t>
      </w:r>
      <w:r w:rsidRPr="00F72212">
        <w:t>in the future</w:t>
      </w:r>
      <w:r>
        <w:t>. That usually means not just valuing the business</w:t>
      </w:r>
      <w:r w:rsidR="00EC44A2">
        <w:t xml:space="preserve"> and assessing its capacity for future growth</w:t>
      </w:r>
      <w:r>
        <w:t>, but looking at the whole picture</w:t>
      </w:r>
      <w:r>
        <w:t xml:space="preserve">, </w:t>
      </w:r>
      <w:r w:rsidRPr="00F72212">
        <w:t>including</w:t>
      </w:r>
      <w:r>
        <w:t xml:space="preserve"> the ownership split between spouses and family member</w:t>
      </w:r>
      <w:r>
        <w:t xml:space="preserve">s </w:t>
      </w:r>
      <w:r w:rsidRPr="00F72212">
        <w:t>and how this can be optimised</w:t>
      </w:r>
      <w:r w:rsidR="00F1796B">
        <w:t>.</w:t>
      </w:r>
      <w:r w:rsidR="00280FBB">
        <w:t xml:space="preserve"> </w:t>
      </w:r>
      <w:r w:rsidR="00F1796B" w:rsidRPr="00F1796B">
        <w:t xml:space="preserve">In some cases this could be </w:t>
      </w:r>
      <w:r w:rsidR="00EC44A2">
        <w:t>addressed</w:t>
      </w:r>
      <w:r w:rsidR="00F1796B" w:rsidRPr="00F1796B">
        <w:t xml:space="preserve"> by a simple matter of appropriate lifetime giving</w:t>
      </w:r>
      <w:r w:rsidR="00280FBB">
        <w:t xml:space="preserve">, perhaps using trusts where </w:t>
      </w:r>
      <w:r w:rsidR="00EC44A2">
        <w:t>advisable</w:t>
      </w:r>
      <w:r w:rsidR="00F1796B" w:rsidRPr="00F1796B">
        <w:t>.</w:t>
      </w:r>
      <w:r w:rsidR="00F1796B">
        <w:t xml:space="preserve"> </w:t>
      </w:r>
      <w:r w:rsidR="00F1796B" w:rsidRPr="00F1796B">
        <w:t>In others, reorganisations and</w:t>
      </w:r>
      <w:r w:rsidR="003C5B14" w:rsidRPr="003C5B14">
        <w:t xml:space="preserve"> reconstructions may be necessary to optimise the relief</w:t>
      </w:r>
      <w:r w:rsidR="00280FBB">
        <w:t>.</w:t>
      </w:r>
    </w:p>
    <w:p w14:paraId="02CB41CB" w14:textId="4F3E34B8" w:rsidR="0021423F" w:rsidRDefault="004855EE" w:rsidP="004855EE">
      <w:r>
        <w:t xml:space="preserve">If any of your clients may be affected by these changes, we would be very happy to assist. We work closely with accountants and other introducers in this area, whether by providing discreet technical support behind the scenes or by advising jointly with the client’s existing professional team. Early </w:t>
      </w:r>
      <w:r>
        <w:t>action is almost invariably</w:t>
      </w:r>
      <w:r>
        <w:t xml:space="preserve"> the best way to preserve flexibility</w:t>
      </w:r>
      <w:r>
        <w:t>, maximise reliefs</w:t>
      </w:r>
      <w:r>
        <w:t xml:space="preserve"> and avoid problems </w:t>
      </w:r>
      <w:r>
        <w:t>in the future.</w:t>
      </w:r>
    </w:p>
    <w:sectPr w:rsidR="002142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val="bestFit" w:percent="179"/>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05A"/>
    <w:rsid w:val="0021423F"/>
    <w:rsid w:val="002707A3"/>
    <w:rsid w:val="00280FBB"/>
    <w:rsid w:val="002A5108"/>
    <w:rsid w:val="003878AD"/>
    <w:rsid w:val="003C5B14"/>
    <w:rsid w:val="004855EE"/>
    <w:rsid w:val="0055105A"/>
    <w:rsid w:val="00553F0C"/>
    <w:rsid w:val="00671C83"/>
    <w:rsid w:val="006868B6"/>
    <w:rsid w:val="00771621"/>
    <w:rsid w:val="00977645"/>
    <w:rsid w:val="00D24D93"/>
    <w:rsid w:val="00EC44A2"/>
    <w:rsid w:val="00F1796B"/>
    <w:rsid w:val="00F722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F1730"/>
  <w15:chartTrackingRefBased/>
  <w15:docId w15:val="{5A21C767-A9BC-4159-B45D-A345F122C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8AD"/>
  </w:style>
  <w:style w:type="paragraph" w:styleId="Heading1">
    <w:name w:val="heading 1"/>
    <w:basedOn w:val="Normal"/>
    <w:next w:val="Normal"/>
    <w:link w:val="Heading1Char"/>
    <w:uiPriority w:val="9"/>
    <w:qFormat/>
    <w:rsid w:val="003878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8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8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8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8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8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8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8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8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8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8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8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8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8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8AD"/>
    <w:rPr>
      <w:rFonts w:eastAsiaTheme="majorEastAsia" w:cstheme="majorBidi"/>
      <w:color w:val="272727" w:themeColor="text1" w:themeTint="D8"/>
    </w:rPr>
  </w:style>
  <w:style w:type="paragraph" w:styleId="Title">
    <w:name w:val="Title"/>
    <w:basedOn w:val="Normal"/>
    <w:next w:val="Normal"/>
    <w:link w:val="TitleChar"/>
    <w:uiPriority w:val="10"/>
    <w:qFormat/>
    <w:rsid w:val="00387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8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8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8A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3878AD"/>
    <w:pPr>
      <w:ind w:left="720"/>
      <w:contextualSpacing/>
    </w:pPr>
  </w:style>
  <w:style w:type="paragraph" w:styleId="Quote">
    <w:name w:val="Quote"/>
    <w:basedOn w:val="Normal"/>
    <w:next w:val="Normal"/>
    <w:link w:val="QuoteChar"/>
    <w:uiPriority w:val="29"/>
    <w:qFormat/>
    <w:rsid w:val="003878AD"/>
    <w:pPr>
      <w:spacing w:before="160"/>
      <w:jc w:val="center"/>
    </w:pPr>
    <w:rPr>
      <w:i/>
      <w:iCs/>
      <w:color w:val="404040" w:themeColor="text1" w:themeTint="BF"/>
    </w:rPr>
  </w:style>
  <w:style w:type="character" w:customStyle="1" w:styleId="QuoteChar">
    <w:name w:val="Quote Char"/>
    <w:basedOn w:val="DefaultParagraphFont"/>
    <w:link w:val="Quote"/>
    <w:uiPriority w:val="29"/>
    <w:rsid w:val="003878AD"/>
    <w:rPr>
      <w:i/>
      <w:iCs/>
      <w:color w:val="404040" w:themeColor="text1" w:themeTint="BF"/>
    </w:rPr>
  </w:style>
  <w:style w:type="paragraph" w:styleId="IntenseQuote">
    <w:name w:val="Intense Quote"/>
    <w:basedOn w:val="Normal"/>
    <w:next w:val="Normal"/>
    <w:link w:val="IntenseQuoteChar"/>
    <w:uiPriority w:val="30"/>
    <w:qFormat/>
    <w:rsid w:val="003878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8AD"/>
    <w:rPr>
      <w:i/>
      <w:iCs/>
      <w:color w:val="0F4761" w:themeColor="accent1" w:themeShade="BF"/>
    </w:rPr>
  </w:style>
  <w:style w:type="character" w:styleId="IntenseEmphasis">
    <w:name w:val="Intense Emphasis"/>
    <w:basedOn w:val="DefaultParagraphFont"/>
    <w:uiPriority w:val="21"/>
    <w:qFormat/>
    <w:rsid w:val="003878AD"/>
    <w:rPr>
      <w:i/>
      <w:iCs/>
      <w:color w:val="0F4761" w:themeColor="accent1" w:themeShade="BF"/>
    </w:rPr>
  </w:style>
  <w:style w:type="character" w:styleId="IntenseReference">
    <w:name w:val="Intense Reference"/>
    <w:basedOn w:val="DefaultParagraphFont"/>
    <w:uiPriority w:val="32"/>
    <w:qFormat/>
    <w:rsid w:val="003878AD"/>
    <w:rPr>
      <w:b/>
      <w:bCs/>
      <w:smallCaps/>
      <w:color w:val="0F4761" w:themeColor="accent1" w:themeShade="BF"/>
      <w:spacing w:val="5"/>
    </w:rPr>
  </w:style>
  <w:style w:type="paragraph" w:styleId="NormalWeb">
    <w:name w:val="Normal (Web)"/>
    <w:basedOn w:val="Normal"/>
    <w:uiPriority w:val="99"/>
    <w:semiHidden/>
    <w:unhideWhenUsed/>
    <w:rsid w:val="00671C83"/>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Pages>
  <Words>552</Words>
  <Characters>3152</Characters>
  <Application>Microsoft Office Word</Application>
  <DocSecurity>2</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Kavanagh</dc:creator>
  <cp:keywords/>
  <dc:description/>
  <cp:lastModifiedBy>John Kavanagh</cp:lastModifiedBy>
  <cp:revision>1</cp:revision>
  <dcterms:created xsi:type="dcterms:W3CDTF">2026-06-16T14:40:00Z</dcterms:created>
  <dcterms:modified xsi:type="dcterms:W3CDTF">2026-06-16T16:11:00Z</dcterms:modified>
</cp:coreProperties>
</file>