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spacing w:after="80"/>
      </w:pPr>
      <w:r>
        <w:rPr>
          <w:rFonts w:ascii="Calibri" w:hAnsi="Calibri" w:eastAsia="Calibri" w:cs="Calibri"/>
          <w:color w:val="609B90"/>
          <w:sz w:val="24"/>
          <w:szCs w:val="24"/>
          <w:b w:val="1"/>
          <w:bCs w:val="1"/>
          <w:smallCaps w:val="0"/>
          <w:caps w:val="1"/>
        </w:rPr>
        <w:t xml:space="preserve">LIMELIGHT</w:t>
      </w:r>
    </w:p>
    <w:p>
      <w:pPr>
        <w:jc w:val="center"/>
        <w:spacing w:after="80"/>
      </w:pPr>
      <w:r>
        <w:rPr>
          <w:rFonts w:ascii="Calibri" w:hAnsi="Calibri" w:eastAsia="Calibri" w:cs="Calibri"/>
          <w:color w:val="1F3A37"/>
          <w:sz w:val="64"/>
          <w:szCs w:val="64"/>
          <w:b w:val="1"/>
          <w:bCs w:val="1"/>
        </w:rPr>
        <w:t xml:space="preserve">Sales Performance</w:t>
      </w:r>
    </w:p>
    <w:p>
      <w:pPr>
        <w:jc w:val="center"/>
        <w:spacing w:after="280"/>
      </w:pPr>
      <w:r>
        <w:rPr>
          <w:rFonts w:ascii="Calibri" w:hAnsi="Calibri" w:eastAsia="Calibri" w:cs="Calibri"/>
          <w:color w:val="4A7A72"/>
          <w:sz w:val="32"/>
          <w:szCs w:val="32"/>
        </w:rPr>
        <w:t xml:space="preserve">Phase 1 Delivery Report and Phase 2 Proposal</w:t>
      </w:r>
    </w:p>
    <w:p>
      <w:pPr>
        <w:jc w:val="center"/>
        <w:spacing w:after="400"/>
      </w:pPr>
      <w:r>
        <w:rPr>
          <w:rFonts w:ascii="Calibri" w:hAnsi="Calibri" w:eastAsia="Calibri" w:cs="Calibri"/>
          <w:color w:val="5A6A68"/>
          <w:sz w:val="24"/>
          <w:szCs w:val="24"/>
          <w:i w:val="1"/>
          <w:iCs w:val="1"/>
        </w:rPr>
        <w:t xml:space="preserve">A summary of completed Phase 1 improvements across reporting, communication, and operations, together with the recommended scope for Phase 2.</w:t>
      </w:r>
    </w:p>
    <w:tbl>
      <w:tblGrid>
        <w:gridCol w:w="1800" w:type="dxa"/>
        <w:gridCol w:w="2400" w:type="dxa"/>
      </w:tblGrid>
      <w:tblPr>
        <w:jc w:val="center"/>
        <w:tblW w:w="4200" w:type="pct"/>
        <w:tblLayout w:type="autofit"/>
        <w:tblCellMar>
          <w:top w:w="60" w:type="dxa"/>
          <w:left w:w="60" w:type="dxa"/>
          <w:right w:w="60" w:type="dxa"/>
          <w:bottom w:w="60" w:type="dxa"/>
        </w:tblCellMar>
      </w:tblPr>
      <w:tr>
        <w:trPr/>
        <w:tc>
          <w:tcPr>
            <w:tcW w:w="1800" w:type="dxa"/>
            <w:noWrap/>
          </w:tcPr>
          <w:p>
            <w:pPr>
              <w:spacing w:after="40"/>
            </w:pPr>
            <w:r>
              <w:rPr>
                <w:rFonts w:ascii="Calibri" w:hAnsi="Calibri" w:eastAsia="Calibri" w:cs="Calibri"/>
                <w:color w:val="609B90"/>
                <w:sz w:val="22"/>
                <w:szCs w:val="22"/>
                <w:b w:val="1"/>
                <w:bCs w:val="1"/>
              </w:rPr>
              <w:t xml:space="preserve">Prepared for</w:t>
            </w:r>
          </w:p>
        </w:tc>
        <w:tc>
          <w:tcPr>
            <w:tcW w:w="2400" w:type="dxa"/>
            <w:noWrap/>
          </w:tcPr>
          <w:p>
            <w:pPr>
              <w:spacing w:after="40"/>
            </w:pPr>
            <w:r>
              <w:rPr>
                <w:rFonts w:ascii="Calibri" w:hAnsi="Calibri" w:eastAsia="Calibri" w:cs="Calibri"/>
                <w:color w:val="2C3332"/>
                <w:sz w:val="22"/>
                <w:szCs w:val="22"/>
              </w:rPr>
              <w:t xml:space="preserve">Limelight</w:t>
            </w:r>
          </w:p>
        </w:tc>
      </w:tr>
      <w:tr>
        <w:trPr/>
        <w:tc>
          <w:tcPr>
            <w:tcW w:w="1800" w:type="dxa"/>
            <w:noWrap/>
          </w:tcPr>
          <w:p>
            <w:pPr>
              <w:spacing w:after="40"/>
            </w:pPr>
            <w:r>
              <w:rPr>
                <w:rFonts w:ascii="Calibri" w:hAnsi="Calibri" w:eastAsia="Calibri" w:cs="Calibri"/>
                <w:color w:val="609B90"/>
                <w:sz w:val="22"/>
                <w:szCs w:val="22"/>
                <w:b w:val="1"/>
                <w:bCs w:val="1"/>
              </w:rPr>
              <w:t xml:space="preserve">Document type</w:t>
            </w:r>
          </w:p>
        </w:tc>
        <w:tc>
          <w:tcPr>
            <w:tcW w:w="2400" w:type="dxa"/>
            <w:noWrap/>
          </w:tcPr>
          <w:p>
            <w:pPr>
              <w:spacing w:after="40"/>
            </w:pPr>
            <w:r>
              <w:rPr>
                <w:rFonts w:ascii="Calibri" w:hAnsi="Calibri" w:eastAsia="Calibri" w:cs="Calibri"/>
                <w:color w:val="2C3332"/>
                <w:sz w:val="22"/>
                <w:szCs w:val="22"/>
              </w:rPr>
              <w:t xml:space="preserve">Delivery report and proposal</w:t>
            </w:r>
          </w:p>
        </w:tc>
      </w:tr>
      <w:tr>
        <w:trPr/>
        <w:tc>
          <w:tcPr>
            <w:tcW w:w="1800" w:type="dxa"/>
            <w:noWrap/>
          </w:tcPr>
          <w:p>
            <w:pPr>
              <w:spacing w:after="40"/>
            </w:pPr>
            <w:r>
              <w:rPr>
                <w:rFonts w:ascii="Calibri" w:hAnsi="Calibri" w:eastAsia="Calibri" w:cs="Calibri"/>
                <w:color w:val="609B90"/>
                <w:sz w:val="22"/>
                <w:szCs w:val="22"/>
                <w:b w:val="1"/>
                <w:bCs w:val="1"/>
              </w:rPr>
              <w:t xml:space="preserve">Date</w:t>
            </w:r>
          </w:p>
        </w:tc>
        <w:tc>
          <w:tcPr>
            <w:tcW w:w="2400" w:type="dxa"/>
            <w:noWrap/>
          </w:tcPr>
          <w:p>
            <w:pPr>
              <w:spacing w:after="40"/>
            </w:pPr>
            <w:r>
              <w:rPr>
                <w:rFonts w:ascii="Calibri" w:hAnsi="Calibri" w:eastAsia="Calibri" w:cs="Calibri"/>
                <w:color w:val="2C3332"/>
                <w:sz w:val="22"/>
                <w:szCs w:val="22"/>
              </w:rPr>
              <w:t xml:space="preserve">9 October 2026</w:t>
            </w:r>
          </w:p>
        </w:tc>
      </w:tr>
      <w:tr>
        <w:trPr/>
        <w:tc>
          <w:tcPr>
            <w:tcW w:w="1800" w:type="dxa"/>
            <w:noWrap/>
          </w:tcPr>
          <w:p>
            <w:pPr>
              <w:spacing w:after="40"/>
            </w:pPr>
            <w:r>
              <w:rPr>
                <w:rFonts w:ascii="Calibri" w:hAnsi="Calibri" w:eastAsia="Calibri" w:cs="Calibri"/>
                <w:color w:val="609B90"/>
                <w:sz w:val="22"/>
                <w:szCs w:val="22"/>
                <w:b w:val="1"/>
                <w:bCs w:val="1"/>
              </w:rPr>
              <w:t xml:space="preserve">Version</w:t>
            </w:r>
          </w:p>
        </w:tc>
        <w:tc>
          <w:tcPr>
            <w:tcW w:w="2400" w:type="dxa"/>
            <w:noWrap/>
          </w:tcPr>
          <w:p>
            <w:pPr>
              <w:spacing w:after="40"/>
            </w:pPr>
            <w:r>
              <w:rPr>
                <w:rFonts w:ascii="Calibri" w:hAnsi="Calibri" w:eastAsia="Calibri" w:cs="Calibri"/>
                <w:color w:val="2C3332"/>
                <w:sz w:val="22"/>
                <w:szCs w:val="22"/>
              </w:rPr>
              <w:t xml:space="preserve">1.1</w:t>
            </w:r>
          </w:p>
        </w:tc>
      </w:tr>
      <w:tr>
        <w:trPr/>
        <w:tc>
          <w:tcPr>
            <w:tcW w:w="1800" w:type="dxa"/>
            <w:noWrap/>
          </w:tcPr>
          <w:p>
            <w:pPr>
              <w:spacing w:after="40"/>
            </w:pPr>
            <w:r>
              <w:rPr>
                <w:rFonts w:ascii="Calibri" w:hAnsi="Calibri" w:eastAsia="Calibri" w:cs="Calibri"/>
                <w:color w:val="609B90"/>
                <w:sz w:val="22"/>
                <w:szCs w:val="22"/>
                <w:b w:val="1"/>
                <w:bCs w:val="1"/>
              </w:rPr>
              <w:t xml:space="preserve">Status</w:t>
            </w:r>
          </w:p>
        </w:tc>
        <w:tc>
          <w:tcPr>
            <w:tcW w:w="2400" w:type="dxa"/>
            <w:noWrap/>
          </w:tcPr>
          <w:p>
            <w:pPr>
              <w:spacing w:after="40"/>
            </w:pPr>
            <w:r>
              <w:rPr>
                <w:rFonts w:ascii="Calibri" w:hAnsi="Calibri" w:eastAsia="Calibri" w:cs="Calibri"/>
                <w:color w:val="2C3332"/>
                <w:sz w:val="22"/>
                <w:szCs w:val="22"/>
              </w:rPr>
              <w:t xml:space="preserve">Phase 1 completed  ·  Phase 2 proposed</w:t>
            </w:r>
          </w:p>
        </w:tc>
      </w:tr>
    </w:tbl>
    <w:p>
      <w:r>
        <w:br w:type="page"/>
      </w:r>
    </w:p>
    <w:p>
      <w:pPr>
        <w:pStyle w:val="Heading1"/>
      </w:pPr>
      <w:bookmarkStart w:id="0" w:name="_Toc0"/>
      <w:r>
        <w:t>1. Document control</w:t>
      </w:r>
      <w:bookmarkEnd w:id="0"/>
    </w:p>
    <w:tbl>
      <w:tblGrid>
        <w:gridCol w:w="1800" w:type="dxa"/>
        <w:gridCol w:w="3200" w:type="dxa"/>
      </w:tblGrid>
      <w:tblPr>
        <w:jc w:val="center"/>
        <w:tblW w:w="5000" w:type="pct"/>
        <w:tblLayout w:type="autofit"/>
        <w:tblCellMar>
          <w:top w:w="80" w:type="dxa"/>
          <w:left w:w="80" w:type="dxa"/>
          <w:right w:w="80" w:type="dxa"/>
          <w:bottom w:w="80" w:type="dxa"/>
        </w:tblCellMar>
        <w:tblBorders>
          <w:top w:val="single" w:sz="4" w:color="C5D5D2"/>
          <w:left w:val="single" w:sz="4" w:color="C5D5D2"/>
          <w:right w:val="single" w:sz="4" w:color="C5D5D2"/>
          <w:bottom w:val="single" w:sz="4" w:color="C5D5D2"/>
          <w:insideH w:val="single" w:sz="4" w:color="C5D5D2"/>
          <w:insideV w:val="single" w:sz="4" w:color="C5D5D2"/>
        </w:tblBorders>
      </w:tblPr>
      <w:tr>
        <w:trPr/>
        <w:tc>
          <w:tcPr>
            <w:tcW w:w="1800" w:type="dxa"/>
            <w:shd w:val="clear" w:fill="609B90"/>
            <w:noWrap/>
          </w:tcPr>
          <w:p>
            <w:pPr>
              <w:spacing w:before="40" w:after="0"/>
            </w:pPr>
            <w:r>
              <w:rPr>
                <w:rFonts w:ascii="Calibri" w:hAnsi="Calibri" w:eastAsia="Calibri" w:cs="Calibri"/>
                <w:color w:val="FFFFFF"/>
                <w:sz w:val="20"/>
                <w:szCs w:val="20"/>
                <w:b w:val="1"/>
                <w:bCs w:val="1"/>
              </w:rPr>
              <w:t xml:space="preserve">Field</w:t>
            </w:r>
          </w:p>
        </w:tc>
        <w:tc>
          <w:tcPr>
            <w:tcW w:w="3200" w:type="dxa"/>
            <w:shd w:val="clear" w:fill="609B90"/>
            <w:noWrap/>
          </w:tcPr>
          <w:p>
            <w:pPr>
              <w:spacing w:before="40" w:after="0"/>
            </w:pPr>
            <w:r>
              <w:rPr>
                <w:rFonts w:ascii="Calibri" w:hAnsi="Calibri" w:eastAsia="Calibri" w:cs="Calibri"/>
                <w:color w:val="FFFFFF"/>
                <w:sz w:val="20"/>
                <w:szCs w:val="20"/>
                <w:b w:val="1"/>
                <w:bCs w:val="1"/>
              </w:rPr>
              <w:t xml:space="preserve">Detail</w:t>
            </w:r>
          </w:p>
        </w:tc>
      </w:tr>
      <w:tr>
        <w:trPr/>
        <w:tc>
          <w:tcPr>
            <w:tcW w:w="1800" w:type="dxa"/>
            <w:noWrap/>
          </w:tcPr>
          <w:p>
            <w:pPr>
              <w:spacing w:before="40" w:after="0"/>
            </w:pPr>
            <w:r>
              <w:rPr>
                <w:rFonts w:ascii="Calibri" w:hAnsi="Calibri" w:eastAsia="Calibri" w:cs="Calibri"/>
                <w:color w:val="2C3332"/>
                <w:sz w:val="20"/>
                <w:szCs w:val="20"/>
                <w:b w:val="1"/>
                <w:bCs w:val="1"/>
              </w:rPr>
              <w:t xml:space="preserve">Document title</w:t>
            </w:r>
          </w:p>
        </w:tc>
        <w:tc>
          <w:tcPr>
            <w:tcW w:w="3200" w:type="dxa"/>
            <w:noWrap/>
          </w:tcPr>
          <w:p>
            <w:pPr>
              <w:spacing w:before="40" w:after="0"/>
            </w:pPr>
            <w:r>
              <w:rPr>
                <w:rFonts w:ascii="Calibri" w:hAnsi="Calibri" w:eastAsia="Calibri" w:cs="Calibri"/>
                <w:color w:val="2C3332"/>
                <w:sz w:val="20"/>
                <w:szCs w:val="20"/>
              </w:rPr>
              <w:t xml:space="preserve">Limelight Sales Performance — Phase 1 Delivery Report and Phase 2 Proposal</w:t>
            </w:r>
          </w:p>
        </w:tc>
      </w:tr>
      <w:tr>
        <w:trPr/>
        <w:tc>
          <w:tcPr>
            <w:tcW w:w="1800" w:type="dxa"/>
            <w:shd w:val="clear" w:fill="F4F8F7"/>
            <w:noWrap/>
          </w:tcPr>
          <w:p>
            <w:pPr>
              <w:spacing w:before="40" w:after="0"/>
            </w:pPr>
            <w:r>
              <w:rPr>
                <w:rFonts w:ascii="Calibri" w:hAnsi="Calibri" w:eastAsia="Calibri" w:cs="Calibri"/>
                <w:color w:val="2C3332"/>
                <w:sz w:val="20"/>
                <w:szCs w:val="20"/>
                <w:b w:val="1"/>
                <w:bCs w:val="1"/>
              </w:rPr>
              <w:t xml:space="preserve">Version</w:t>
            </w:r>
          </w:p>
        </w:tc>
        <w:tc>
          <w:tcPr>
            <w:tcW w:w="3200" w:type="dxa"/>
            <w:shd w:val="clear" w:fill="F4F8F7"/>
            <w:noWrap/>
          </w:tcPr>
          <w:p>
            <w:pPr>
              <w:spacing w:before="40" w:after="0"/>
            </w:pPr>
            <w:r>
              <w:rPr>
                <w:rFonts w:ascii="Calibri" w:hAnsi="Calibri" w:eastAsia="Calibri" w:cs="Calibri"/>
                <w:color w:val="2C3332"/>
                <w:sz w:val="20"/>
                <w:szCs w:val="20"/>
              </w:rPr>
              <w:t xml:space="preserve">1.1</w:t>
            </w:r>
          </w:p>
        </w:tc>
      </w:tr>
      <w:tr>
        <w:trPr/>
        <w:tc>
          <w:tcPr>
            <w:tcW w:w="1800" w:type="dxa"/>
            <w:noWrap/>
          </w:tcPr>
          <w:p>
            <w:pPr>
              <w:spacing w:before="40" w:after="0"/>
            </w:pPr>
            <w:r>
              <w:rPr>
                <w:rFonts w:ascii="Calibri" w:hAnsi="Calibri" w:eastAsia="Calibri" w:cs="Calibri"/>
                <w:color w:val="2C3332"/>
                <w:sz w:val="20"/>
                <w:szCs w:val="20"/>
                <w:b w:val="1"/>
                <w:bCs w:val="1"/>
              </w:rPr>
              <w:t xml:space="preserve">Date</w:t>
            </w:r>
          </w:p>
        </w:tc>
        <w:tc>
          <w:tcPr>
            <w:tcW w:w="3200" w:type="dxa"/>
            <w:noWrap/>
          </w:tcPr>
          <w:p>
            <w:pPr>
              <w:spacing w:before="40" w:after="0"/>
            </w:pPr>
            <w:r>
              <w:rPr>
                <w:rFonts w:ascii="Calibri" w:hAnsi="Calibri" w:eastAsia="Calibri" w:cs="Calibri"/>
                <w:color w:val="2C3332"/>
                <w:sz w:val="20"/>
                <w:szCs w:val="20"/>
              </w:rPr>
              <w:t xml:space="preserve">9 October 2026</w:t>
            </w:r>
          </w:p>
        </w:tc>
      </w:tr>
      <w:tr>
        <w:trPr/>
        <w:tc>
          <w:tcPr>
            <w:tcW w:w="1800" w:type="dxa"/>
            <w:shd w:val="clear" w:fill="F4F8F7"/>
            <w:noWrap/>
          </w:tcPr>
          <w:p>
            <w:pPr>
              <w:spacing w:before="40" w:after="0"/>
            </w:pPr>
            <w:r>
              <w:rPr>
                <w:rFonts w:ascii="Calibri" w:hAnsi="Calibri" w:eastAsia="Calibri" w:cs="Calibri"/>
                <w:color w:val="2C3332"/>
                <w:sz w:val="20"/>
                <w:szCs w:val="20"/>
                <w:b w:val="1"/>
                <w:bCs w:val="1"/>
              </w:rPr>
              <w:t xml:space="preserve">Audience</w:t>
            </w:r>
          </w:p>
        </w:tc>
        <w:tc>
          <w:tcPr>
            <w:tcW w:w="3200" w:type="dxa"/>
            <w:shd w:val="clear" w:fill="F4F8F7"/>
            <w:noWrap/>
          </w:tcPr>
          <w:p>
            <w:pPr>
              <w:spacing w:before="40" w:after="0"/>
            </w:pPr>
            <w:r>
              <w:rPr>
                <w:rFonts w:ascii="Calibri" w:hAnsi="Calibri" w:eastAsia="Calibri" w:cs="Calibri"/>
                <w:color w:val="2C3332"/>
                <w:sz w:val="20"/>
                <w:szCs w:val="20"/>
              </w:rPr>
              <w:t xml:space="preserve">Limelight stakeholders</w:t>
            </w:r>
          </w:p>
        </w:tc>
      </w:tr>
      <w:tr>
        <w:trPr/>
        <w:tc>
          <w:tcPr>
            <w:tcW w:w="1800" w:type="dxa"/>
            <w:noWrap/>
          </w:tcPr>
          <w:p>
            <w:pPr>
              <w:spacing w:before="40" w:after="0"/>
            </w:pPr>
            <w:r>
              <w:rPr>
                <w:rFonts w:ascii="Calibri" w:hAnsi="Calibri" w:eastAsia="Calibri" w:cs="Calibri"/>
                <w:color w:val="2C3332"/>
                <w:sz w:val="20"/>
                <w:szCs w:val="20"/>
                <w:b w:val="1"/>
                <w:bCs w:val="1"/>
              </w:rPr>
              <w:t xml:space="preserve">Phase 1</w:t>
            </w:r>
          </w:p>
        </w:tc>
        <w:tc>
          <w:tcPr>
            <w:tcW w:w="3200" w:type="dxa"/>
            <w:noWrap/>
          </w:tcPr>
          <w:p>
            <w:pPr>
              <w:spacing w:before="40" w:after="0"/>
            </w:pPr>
            <w:r>
              <w:rPr>
                <w:rFonts w:ascii="Calibri" w:hAnsi="Calibri" w:eastAsia="Calibri" w:cs="Calibri"/>
                <w:color w:val="2C3332"/>
                <w:sz w:val="20"/>
                <w:szCs w:val="20"/>
              </w:rPr>
              <w:t xml:space="preserve">Completed</w:t>
            </w:r>
          </w:p>
        </w:tc>
      </w:tr>
      <w:tr>
        <w:trPr/>
        <w:tc>
          <w:tcPr>
            <w:tcW w:w="1800" w:type="dxa"/>
            <w:shd w:val="clear" w:fill="F4F8F7"/>
            <w:noWrap/>
          </w:tcPr>
          <w:p>
            <w:pPr>
              <w:spacing w:before="40" w:after="0"/>
            </w:pPr>
            <w:r>
              <w:rPr>
                <w:rFonts w:ascii="Calibri" w:hAnsi="Calibri" w:eastAsia="Calibri" w:cs="Calibri"/>
                <w:color w:val="2C3332"/>
                <w:sz w:val="20"/>
                <w:szCs w:val="20"/>
                <w:b w:val="1"/>
                <w:bCs w:val="1"/>
              </w:rPr>
              <w:t xml:space="preserve">Phase 2</w:t>
            </w:r>
          </w:p>
        </w:tc>
        <w:tc>
          <w:tcPr>
            <w:tcW w:w="3200" w:type="dxa"/>
            <w:shd w:val="clear" w:fill="F4F8F7"/>
            <w:noWrap/>
          </w:tcPr>
          <w:p>
            <w:pPr>
              <w:spacing w:before="40" w:after="0"/>
            </w:pPr>
            <w:r>
              <w:rPr>
                <w:rFonts w:ascii="Calibri" w:hAnsi="Calibri" w:eastAsia="Calibri" w:cs="Calibri"/>
                <w:color w:val="2C3332"/>
                <w:sz w:val="20"/>
                <w:szCs w:val="20"/>
              </w:rPr>
              <w:t xml:space="preserve">Proposed — pending confirmation</w:t>
            </w:r>
          </w:p>
        </w:tc>
      </w:tr>
    </w:tbl>
    <w:p/>
    <w:p>
      <w:pPr>
        <w:pStyle w:val="Heading1"/>
      </w:pPr>
      <w:bookmarkStart w:id="1" w:name="_Toc1"/>
      <w:r>
        <w:t>2. Executive summary</w:t>
      </w:r>
      <w:bookmarkEnd w:id="1"/>
    </w:p>
    <w:p>
      <w:pPr>
        <w:jc w:val="both"/>
        <w:spacing w:after="160" w:line="276" w:lineRule="auto"/>
      </w:pPr>
      <w:r>
        <w:rPr>
          <w:rFonts w:ascii="Calibri" w:hAnsi="Calibri" w:eastAsia="Calibri" w:cs="Calibri"/>
          <w:color w:val="2C3332"/>
          <w:sz w:val="22"/>
          <w:szCs w:val="22"/>
        </w:rPr>
        <w:t xml:space="preserve">Phase 1 focused on making the Sales Performance platform more accurate, more usable, and more connected between the admin panel and the mobile app. Commission figures in Sales History and Reporting now follow a consistent method, and the same method is applied in the app so staff, branch managers, and ASMs see matching numbers. Filters return the records expected for a chosen date range, branch, and role. Line items used for category mapping are kept up to date from the live sales feed. Field teams can see notifications in the app, and administrators can review in-app feedback and send both announcements and targeted notifications from one place. Survey reporting now includes responses from Sales Staff, Branch Managers, and Area Sales Managers.</w:t>
      </w:r>
    </w:p>
    <w:p>
      <w:pPr>
        <w:jc w:val="both"/>
        <w:spacing w:after="160" w:line="276" w:lineRule="auto"/>
      </w:pPr>
      <w:r>
        <w:rPr>
          <w:rFonts w:ascii="Calibri" w:hAnsi="Calibri" w:eastAsia="Calibri" w:cs="Calibri"/>
          <w:color w:val="2C3332"/>
          <w:sz w:val="22"/>
          <w:szCs w:val="22"/>
        </w:rPr>
        <w:t xml:space="preserve">Phase 2 is proposed to take communication and learning further. Administrators would be able to attach video, voice messages, pictures, and PDF files to training modules and announcements. A dedicated Admin login would also be added to the mobile app so operations teams can act on feedback and campaigns without relying only on the web panel.</w:t>
      </w:r>
    </w:p>
    <w:p>
      <w:pPr>
        <w:pStyle w:val="Heading1"/>
      </w:pPr>
      <w:bookmarkStart w:id="2" w:name="_Toc2"/>
      <w:r>
        <w:t>3. Phase 1 — Completed work</w:t>
      </w:r>
      <w:bookmarkEnd w:id="2"/>
    </w:p>
    <w:p>
      <w:pPr>
        <w:jc w:val="start"/>
        <w:spacing w:after="160" w:line="276" w:lineRule="auto"/>
      </w:pPr>
      <w:r>
        <w:rPr>
          <w:rFonts w:ascii="Calibri" w:hAnsi="Calibri" w:eastAsia="Calibri" w:cs="Calibri"/>
          <w:color w:val="5A6A68"/>
          <w:sz w:val="20"/>
          <w:szCs w:val="20"/>
          <w:i w:val="1"/>
          <w:iCs w:val="1"/>
        </w:rPr>
        <w:t xml:space="preserve">The items below were delivered in Phase 1. Each item describes what was delivered and the benefit for the business.</w:t>
      </w:r>
    </w:p>
    <w:p>
      <w:pPr>
        <w:pStyle w:val="Heading2"/>
      </w:pPr>
      <w:bookmarkStart w:id="3" w:name="_Toc3"/>
      <w:r>
        <w:t>3.1 Line items synchronised from the live sales feed</w:t>
      </w:r>
      <w:bookmarkEnd w:id="3"/>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Nineteen unique line items from the third-party sales feed are now available in the admin Line Items section. Examples include Co-ords, RTW, Bags, Unstitched Printed, Unstitched Embroidered, Eastern Top, Fragrance, Loungewear, and Non-Tradable. New values are added automatically during the regular data sync and when the Line Items page is opened. Existing category mappings are left unchanged; new items appear as Unassigned until they are mapped.</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Product groups stay current without manual re-entry, so category mapping and reporting remain aligned with what is actually selling in stores.</w:t>
      </w:r>
    </w:p>
    <w:p>
      <w:pPr>
        <w:pStyle w:val="Heading2"/>
      </w:pPr>
      <w:bookmarkStart w:id="4" w:name="_Toc4"/>
      <w:r>
        <w:t>3.2 Commission calculation in Sales History and Reporting</w:t>
      </w:r>
      <w:bookmarkEnd w:id="4"/>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Commission on the admin Sales History and Reporting screens now uses a single, consistent method. Totals are rounded per invoice, the correct rate is applied for the role and date, and sales are no longer counted twice. Admin figures now match the achievement shown for Sales Staff and Branch Managers.</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Leadership can trust commission numbers when reviewing performance, payroll-related reporting, and branch comparisons.</w:t>
      </w:r>
    </w:p>
    <w:p>
      <w:pPr>
        <w:pStyle w:val="Heading2"/>
      </w:pPr>
      <w:bookmarkStart w:id="5" w:name="_Toc5"/>
      <w:r>
        <w:t>3.3 Commission calculations applied in the app</w:t>
      </w:r>
      <w:bookmarkEnd w:id="5"/>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The same commission method is now used in the mobile app. Sales Staff, Branch Managers, and Area Sales Managers see commission on dashboards, overall performance, and comparison screens that matches Sales History and Reporting in the admin panel.</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Store teams and head office work from one set of numbers, which avoids confusion when reviewing daily performance on a phone versus on the web.</w:t>
      </w:r>
    </w:p>
    <w:p>
      <w:pPr>
        <w:pStyle w:val="Heading2"/>
      </w:pPr>
      <w:bookmarkStart w:id="6" w:name="_Toc6"/>
      <w:r>
        <w:t>3.4 Filter issues in Sales History and Reporting</w:t>
      </w:r>
      <w:bookmarkEnd w:id="6"/>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Date, branch, role, and related filters on Sales History and Reporting were corrected so that the list of records matches the criteria selected. Daily, weekly, and monthly views now respect the chosen period.</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Administrators can isolate a branch, period, or team without missing rows or seeing data that should have been excluded.</w:t>
      </w:r>
    </w:p>
    <w:p>
      <w:pPr>
        <w:pStyle w:val="Heading2"/>
      </w:pPr>
      <w:bookmarkStart w:id="7" w:name="_Toc7"/>
      <w:r>
        <w:t>3.5 App notifications — display and refresh</w:t>
      </w:r>
      <w:bookmarkEnd w:id="7"/>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Notifications sent from the admin panel now appear in the mobile app and refresh when new items arrive. Admin-sent notifications are stored against the selected users and listed in both the app and the admin Announcements section.</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Field staff, branch managers, and ASMs receive timely operational messages instead of a blank or stale notification list.</w:t>
      </w:r>
    </w:p>
    <w:p>
      <w:pPr>
        <w:pStyle w:val="Heading2"/>
      </w:pPr>
      <w:bookmarkStart w:id="8" w:name="_Toc8"/>
      <w:r>
        <w:t>3.6 Feedback section in the admin panel</w:t>
      </w:r>
      <w:bookmarkEnd w:id="8"/>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A new Feedback section shows comments submitted from the app by Sales Staff, Branch Managers, and Area Sales Managers. Administrators can filter by user type, see who submitted the feedback, the branch or region, and the time in Pakistan Standard Time. Unread items are highlighted with a counter on the menu.</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Head office can review store-level issues and suggestions in one place, rather than collecting them outside the system.</w:t>
      </w:r>
    </w:p>
    <w:p>
      <w:pPr>
        <w:pStyle w:val="Heading2"/>
      </w:pPr>
      <w:bookmarkStart w:id="9" w:name="_Toc9"/>
      <w:r>
        <w:t>3.7 Sales / survey report responses</w:t>
      </w:r>
      <w:bookmarkEnd w:id="9"/>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Survey and sales report views now include responses from Sales Staff, Branch Managers, and Area Sales Managers. Previously, some respondent groups did not appear, which made completion look lower than it was.</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Managers can see a complete picture of who has responded and follow up only with people who are still pending.</w:t>
      </w:r>
    </w:p>
    <w:p>
      <w:pPr>
        <w:pStyle w:val="Heading2"/>
      </w:pPr>
      <w:bookmarkStart w:id="10" w:name="_Toc10"/>
      <w:r>
        <w:t>3.8 Notifications from the Announcements section</w:t>
      </w:r>
      <w:bookmarkEnd w:id="10"/>
    </w:p>
    <w:p>
      <w:pPr>
        <w:spacing w:after="40"/>
      </w:pPr>
      <w:r>
        <w:rPr>
          <w:rFonts w:ascii="Calibri" w:hAnsi="Calibri" w:eastAsia="Calibri" w:cs="Calibri"/>
          <w:color w:val="1F3A37"/>
          <w:sz w:val="22"/>
          <w:szCs w:val="22"/>
          <w:b w:val="1"/>
          <w:bCs w:val="1"/>
        </w:rPr>
        <w:t xml:space="preserve">What was delivered</w:t>
      </w:r>
    </w:p>
    <w:p>
      <w:pPr>
        <w:jc w:val="both"/>
        <w:spacing w:after="160" w:line="276" w:lineRule="auto"/>
      </w:pPr>
      <w:r>
        <w:rPr>
          <w:rFonts w:ascii="Calibri" w:hAnsi="Calibri" w:eastAsia="Calibri" w:cs="Calibri"/>
          <w:color w:val="2C3332"/>
          <w:sz w:val="22"/>
          <w:szCs w:val="22"/>
        </w:rPr>
        <w:t xml:space="preserve">The Announcements screen now supports two types. An Announcement is sent to selected roles (Sales Staff, Branch Manager, ASM). A Notification is sent to selected people within those roles. Sent notifications appear in the same list as announcements, with audience and recipient names, and can be removed from the admin view when no longer needed.</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One screen covers both broad circulars and targeted messages, reducing the need to switch between separate tools.</w:t>
      </w:r>
    </w:p>
    <w:p>
      <w:pPr>
        <w:pStyle w:val="Heading1"/>
      </w:pPr>
      <w:bookmarkStart w:id="11" w:name="_Toc11"/>
      <w:r>
        <w:t>4. Phase 1 summary</w:t>
      </w:r>
      <w:bookmarkEnd w:id="11"/>
    </w:p>
    <w:tbl>
      <w:tblGrid>
        <w:gridCol w:w="2200" w:type="dxa"/>
        <w:gridCol w:w="1800" w:type="dxa"/>
        <w:gridCol w:w="1000" w:type="dxa"/>
      </w:tblGrid>
      <w:tblPr>
        <w:jc w:val="center"/>
        <w:tblW w:w="5000" w:type="pct"/>
        <w:tblLayout w:type="autofit"/>
        <w:tblCellMar>
          <w:top w:w="80" w:type="dxa"/>
          <w:left w:w="80" w:type="dxa"/>
          <w:right w:w="80" w:type="dxa"/>
          <w:bottom w:w="80" w:type="dxa"/>
        </w:tblCellMar>
        <w:tblBorders>
          <w:top w:val="single" w:sz="4" w:color="C5D5D2"/>
          <w:left w:val="single" w:sz="4" w:color="C5D5D2"/>
          <w:right w:val="single" w:sz="4" w:color="C5D5D2"/>
          <w:bottom w:val="single" w:sz="4" w:color="C5D5D2"/>
          <w:insideH w:val="single" w:sz="4" w:color="C5D5D2"/>
          <w:insideV w:val="single" w:sz="4" w:color="C5D5D2"/>
        </w:tblBorders>
      </w:tblPr>
      <w:tr>
        <w:trPr/>
        <w:tc>
          <w:tcPr>
            <w:tcW w:w="2200" w:type="dxa"/>
            <w:shd w:val="clear" w:fill="609B90"/>
            <w:noWrap/>
          </w:tcPr>
          <w:p>
            <w:pPr>
              <w:spacing w:before="40" w:after="0"/>
            </w:pPr>
            <w:r>
              <w:rPr>
                <w:rFonts w:ascii="Calibri" w:hAnsi="Calibri" w:eastAsia="Calibri" w:cs="Calibri"/>
                <w:color w:val="FFFFFF"/>
                <w:sz w:val="20"/>
                <w:szCs w:val="20"/>
                <w:b w:val="1"/>
                <w:bCs w:val="1"/>
              </w:rPr>
              <w:t xml:space="preserve">Deliverable</w:t>
            </w:r>
          </w:p>
        </w:tc>
        <w:tc>
          <w:tcPr>
            <w:tcW w:w="1800" w:type="dxa"/>
            <w:shd w:val="clear" w:fill="609B90"/>
            <w:noWrap/>
          </w:tcPr>
          <w:p>
            <w:pPr>
              <w:spacing w:before="40" w:after="0"/>
            </w:pPr>
            <w:r>
              <w:rPr>
                <w:rFonts w:ascii="Calibri" w:hAnsi="Calibri" w:eastAsia="Calibri" w:cs="Calibri"/>
                <w:color w:val="FFFFFF"/>
                <w:sz w:val="20"/>
                <w:szCs w:val="20"/>
                <w:b w:val="1"/>
                <w:bCs w:val="1"/>
              </w:rPr>
              <w:t xml:space="preserve">Area</w:t>
            </w:r>
          </w:p>
        </w:tc>
        <w:tc>
          <w:tcPr>
            <w:tcW w:w="1000" w:type="dxa"/>
            <w:shd w:val="clear" w:fill="609B90"/>
            <w:noWrap/>
          </w:tcPr>
          <w:p>
            <w:pPr>
              <w:spacing w:before="40" w:after="0"/>
            </w:pPr>
            <w:r>
              <w:rPr>
                <w:rFonts w:ascii="Calibri" w:hAnsi="Calibri" w:eastAsia="Calibri" w:cs="Calibri"/>
                <w:color w:val="FFFFFF"/>
                <w:sz w:val="20"/>
                <w:szCs w:val="20"/>
                <w:b w:val="1"/>
                <w:bCs w:val="1"/>
              </w:rPr>
              <w:t xml:space="preserve">Status</w:t>
            </w:r>
          </w:p>
        </w:tc>
      </w:tr>
      <w:tr>
        <w:trPr/>
        <w:tc>
          <w:tcPr>
            <w:tcW w:w="2200" w:type="dxa"/>
            <w:noWrap/>
          </w:tcPr>
          <w:p>
            <w:pPr>
              <w:spacing w:before="40" w:after="0"/>
            </w:pPr>
            <w:r>
              <w:rPr>
                <w:rFonts w:ascii="Calibri" w:hAnsi="Calibri" w:eastAsia="Calibri" w:cs="Calibri"/>
                <w:color w:val="2C3332"/>
                <w:sz w:val="20"/>
                <w:szCs w:val="20"/>
              </w:rPr>
              <w:t xml:space="preserve">Nineteen line items synced from the live sales feed</w:t>
            </w:r>
          </w:p>
        </w:tc>
        <w:tc>
          <w:tcPr>
            <w:tcW w:w="1800" w:type="dxa"/>
            <w:noWrap/>
          </w:tcPr>
          <w:p>
            <w:pPr>
              <w:spacing w:before="40" w:after="0"/>
            </w:pPr>
            <w:r>
              <w:rPr>
                <w:rFonts w:ascii="Calibri" w:hAnsi="Calibri" w:eastAsia="Calibri" w:cs="Calibri"/>
                <w:color w:val="2C3332"/>
                <w:sz w:val="20"/>
                <w:szCs w:val="20"/>
              </w:rPr>
              <w:t xml:space="preserve">Admin — Line Items</w:t>
            </w:r>
          </w:p>
        </w:tc>
        <w:tc>
          <w:tcPr>
            <w:tcW w:w="1000" w:type="dxa"/>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shd w:val="clear" w:fill="F4F8F7"/>
            <w:noWrap/>
          </w:tcPr>
          <w:p>
            <w:pPr>
              <w:spacing w:before="40" w:after="0"/>
            </w:pPr>
            <w:r>
              <w:rPr>
                <w:rFonts w:ascii="Calibri" w:hAnsi="Calibri" w:eastAsia="Calibri" w:cs="Calibri"/>
                <w:color w:val="2C3332"/>
                <w:sz w:val="20"/>
                <w:szCs w:val="20"/>
              </w:rPr>
              <w:t xml:space="preserve">Corrected commission calculation</w:t>
            </w:r>
          </w:p>
        </w:tc>
        <w:tc>
          <w:tcPr>
            <w:tcW w:w="1800" w:type="dxa"/>
            <w:shd w:val="clear" w:fill="F4F8F7"/>
            <w:noWrap/>
          </w:tcPr>
          <w:p>
            <w:pPr>
              <w:spacing w:before="40" w:after="0"/>
            </w:pPr>
            <w:r>
              <w:rPr>
                <w:rFonts w:ascii="Calibri" w:hAnsi="Calibri" w:eastAsia="Calibri" w:cs="Calibri"/>
                <w:color w:val="2C3332"/>
                <w:sz w:val="20"/>
                <w:szCs w:val="20"/>
              </w:rPr>
              <w:t xml:space="preserve">Admin — Sales History and Reporting</w:t>
            </w:r>
          </w:p>
        </w:tc>
        <w:tc>
          <w:tcPr>
            <w:tcW w:w="1000" w:type="dxa"/>
            <w:shd w:val="clear" w:fill="F4F8F7"/>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noWrap/>
          </w:tcPr>
          <w:p>
            <w:pPr>
              <w:spacing w:before="40" w:after="0"/>
            </w:pPr>
            <w:r>
              <w:rPr>
                <w:rFonts w:ascii="Calibri" w:hAnsi="Calibri" w:eastAsia="Calibri" w:cs="Calibri"/>
                <w:color w:val="2C3332"/>
                <w:sz w:val="20"/>
                <w:szCs w:val="20"/>
              </w:rPr>
              <w:t xml:space="preserve">Same commission calculation applied in the app</w:t>
            </w:r>
          </w:p>
        </w:tc>
        <w:tc>
          <w:tcPr>
            <w:tcW w:w="1800" w:type="dxa"/>
            <w:noWrap/>
          </w:tcPr>
          <w:p>
            <w:pPr>
              <w:spacing w:before="40" w:after="0"/>
            </w:pPr>
            <w:r>
              <w:rPr>
                <w:rFonts w:ascii="Calibri" w:hAnsi="Calibri" w:eastAsia="Calibri" w:cs="Calibri"/>
                <w:color w:val="2C3332"/>
                <w:sz w:val="20"/>
                <w:szCs w:val="20"/>
              </w:rPr>
              <w:t xml:space="preserve">Mobile app — dashboards and comparisons</w:t>
            </w:r>
          </w:p>
        </w:tc>
        <w:tc>
          <w:tcPr>
            <w:tcW w:w="1000" w:type="dxa"/>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shd w:val="clear" w:fill="F4F8F7"/>
            <w:noWrap/>
          </w:tcPr>
          <w:p>
            <w:pPr>
              <w:spacing w:before="40" w:after="0"/>
            </w:pPr>
            <w:r>
              <w:rPr>
                <w:rFonts w:ascii="Calibri" w:hAnsi="Calibri" w:eastAsia="Calibri" w:cs="Calibri"/>
                <w:color w:val="2C3332"/>
                <w:sz w:val="20"/>
                <w:szCs w:val="20"/>
              </w:rPr>
              <w:t xml:space="preserve">Filter corrections (date, branch, role)</w:t>
            </w:r>
          </w:p>
        </w:tc>
        <w:tc>
          <w:tcPr>
            <w:tcW w:w="1800" w:type="dxa"/>
            <w:shd w:val="clear" w:fill="F4F8F7"/>
            <w:noWrap/>
          </w:tcPr>
          <w:p>
            <w:pPr>
              <w:spacing w:before="40" w:after="0"/>
            </w:pPr>
            <w:r>
              <w:rPr>
                <w:rFonts w:ascii="Calibri" w:hAnsi="Calibri" w:eastAsia="Calibri" w:cs="Calibri"/>
                <w:color w:val="2C3332"/>
                <w:sz w:val="20"/>
                <w:szCs w:val="20"/>
              </w:rPr>
              <w:t xml:space="preserve">Admin — Sales History and Reporting</w:t>
            </w:r>
          </w:p>
        </w:tc>
        <w:tc>
          <w:tcPr>
            <w:tcW w:w="1000" w:type="dxa"/>
            <w:shd w:val="clear" w:fill="F4F8F7"/>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noWrap/>
          </w:tcPr>
          <w:p>
            <w:pPr>
              <w:spacing w:before="40" w:after="0"/>
            </w:pPr>
            <w:r>
              <w:rPr>
                <w:rFonts w:ascii="Calibri" w:hAnsi="Calibri" w:eastAsia="Calibri" w:cs="Calibri"/>
                <w:color w:val="2C3332"/>
                <w:sz w:val="20"/>
                <w:szCs w:val="20"/>
              </w:rPr>
              <w:t xml:space="preserve">Notifications display and refresh in the app</w:t>
            </w:r>
          </w:p>
        </w:tc>
        <w:tc>
          <w:tcPr>
            <w:tcW w:w="1800" w:type="dxa"/>
            <w:noWrap/>
          </w:tcPr>
          <w:p>
            <w:pPr>
              <w:spacing w:before="40" w:after="0"/>
            </w:pPr>
            <w:r>
              <w:rPr>
                <w:rFonts w:ascii="Calibri" w:hAnsi="Calibri" w:eastAsia="Calibri" w:cs="Calibri"/>
                <w:color w:val="2C3332"/>
                <w:sz w:val="20"/>
                <w:szCs w:val="20"/>
              </w:rPr>
              <w:t xml:space="preserve">Mobile app — Notifications</w:t>
            </w:r>
          </w:p>
        </w:tc>
        <w:tc>
          <w:tcPr>
            <w:tcW w:w="1000" w:type="dxa"/>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shd w:val="clear" w:fill="F4F8F7"/>
            <w:noWrap/>
          </w:tcPr>
          <w:p>
            <w:pPr>
              <w:spacing w:before="40" w:after="0"/>
            </w:pPr>
            <w:r>
              <w:rPr>
                <w:rFonts w:ascii="Calibri" w:hAnsi="Calibri" w:eastAsia="Calibri" w:cs="Calibri"/>
                <w:color w:val="2C3332"/>
                <w:sz w:val="20"/>
                <w:szCs w:val="20"/>
              </w:rPr>
              <w:t xml:space="preserve">Feedback section for app submissions</w:t>
            </w:r>
          </w:p>
        </w:tc>
        <w:tc>
          <w:tcPr>
            <w:tcW w:w="1800" w:type="dxa"/>
            <w:shd w:val="clear" w:fill="F4F8F7"/>
            <w:noWrap/>
          </w:tcPr>
          <w:p>
            <w:pPr>
              <w:spacing w:before="40" w:after="0"/>
            </w:pPr>
            <w:r>
              <w:rPr>
                <w:rFonts w:ascii="Calibri" w:hAnsi="Calibri" w:eastAsia="Calibri" w:cs="Calibri"/>
                <w:color w:val="2C3332"/>
                <w:sz w:val="20"/>
                <w:szCs w:val="20"/>
              </w:rPr>
              <w:t xml:space="preserve">Admin — Feedback</w:t>
            </w:r>
          </w:p>
        </w:tc>
        <w:tc>
          <w:tcPr>
            <w:tcW w:w="1000" w:type="dxa"/>
            <w:shd w:val="clear" w:fill="F4F8F7"/>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noWrap/>
          </w:tcPr>
          <w:p>
            <w:pPr>
              <w:spacing w:before="40" w:after="0"/>
            </w:pPr>
            <w:r>
              <w:rPr>
                <w:rFonts w:ascii="Calibri" w:hAnsi="Calibri" w:eastAsia="Calibri" w:cs="Calibri"/>
                <w:color w:val="2C3332"/>
                <w:sz w:val="20"/>
                <w:szCs w:val="20"/>
              </w:rPr>
              <w:t xml:space="preserve">Survey / sales report includes all respondent roles</w:t>
            </w:r>
          </w:p>
        </w:tc>
        <w:tc>
          <w:tcPr>
            <w:tcW w:w="1800" w:type="dxa"/>
            <w:noWrap/>
          </w:tcPr>
          <w:p>
            <w:pPr>
              <w:spacing w:before="40" w:after="0"/>
            </w:pPr>
            <w:r>
              <w:rPr>
                <w:rFonts w:ascii="Calibri" w:hAnsi="Calibri" w:eastAsia="Calibri" w:cs="Calibri"/>
                <w:color w:val="2C3332"/>
                <w:sz w:val="20"/>
                <w:szCs w:val="20"/>
              </w:rPr>
              <w:t xml:space="preserve">Admin and app — Reports</w:t>
            </w:r>
          </w:p>
        </w:tc>
        <w:tc>
          <w:tcPr>
            <w:tcW w:w="1000" w:type="dxa"/>
            <w:noWrap/>
          </w:tcPr>
          <w:p>
            <w:pPr>
              <w:spacing w:before="40" w:after="0"/>
            </w:pPr>
            <w:r>
              <w:rPr>
                <w:rFonts w:ascii="Calibri" w:hAnsi="Calibri" w:eastAsia="Calibri" w:cs="Calibri"/>
                <w:color w:val="4A7A72"/>
                <w:sz w:val="20"/>
                <w:szCs w:val="20"/>
                <w:b w:val="1"/>
                <w:bCs w:val="1"/>
              </w:rPr>
              <w:t xml:space="preserve">Completed</w:t>
            </w:r>
          </w:p>
        </w:tc>
      </w:tr>
      <w:tr>
        <w:trPr/>
        <w:tc>
          <w:tcPr>
            <w:tcW w:w="2200" w:type="dxa"/>
            <w:shd w:val="clear" w:fill="F4F8F7"/>
            <w:noWrap/>
          </w:tcPr>
          <w:p>
            <w:pPr>
              <w:spacing w:before="40" w:after="0"/>
            </w:pPr>
            <w:r>
              <w:rPr>
                <w:rFonts w:ascii="Calibri" w:hAnsi="Calibri" w:eastAsia="Calibri" w:cs="Calibri"/>
                <w:color w:val="2C3332"/>
                <w:sz w:val="20"/>
                <w:szCs w:val="20"/>
              </w:rPr>
              <w:t xml:space="preserve">Notification option in Announcements</w:t>
            </w:r>
          </w:p>
        </w:tc>
        <w:tc>
          <w:tcPr>
            <w:tcW w:w="1800" w:type="dxa"/>
            <w:shd w:val="clear" w:fill="F4F8F7"/>
            <w:noWrap/>
          </w:tcPr>
          <w:p>
            <w:pPr>
              <w:spacing w:before="40" w:after="0"/>
            </w:pPr>
            <w:r>
              <w:rPr>
                <w:rFonts w:ascii="Calibri" w:hAnsi="Calibri" w:eastAsia="Calibri" w:cs="Calibri"/>
                <w:color w:val="2C3332"/>
                <w:sz w:val="20"/>
                <w:szCs w:val="20"/>
              </w:rPr>
              <w:t xml:space="preserve">Admin — Announcements</w:t>
            </w:r>
          </w:p>
        </w:tc>
        <w:tc>
          <w:tcPr>
            <w:tcW w:w="1000" w:type="dxa"/>
            <w:shd w:val="clear" w:fill="F4F8F7"/>
            <w:noWrap/>
          </w:tcPr>
          <w:p>
            <w:pPr>
              <w:spacing w:before="40" w:after="0"/>
            </w:pPr>
            <w:r>
              <w:rPr>
                <w:rFonts w:ascii="Calibri" w:hAnsi="Calibri" w:eastAsia="Calibri" w:cs="Calibri"/>
                <w:color w:val="4A7A72"/>
                <w:sz w:val="20"/>
                <w:szCs w:val="20"/>
                <w:b w:val="1"/>
                <w:bCs w:val="1"/>
              </w:rPr>
              <w:t xml:space="preserve">Completed</w:t>
            </w:r>
          </w:p>
        </w:tc>
      </w:tr>
    </w:tbl>
    <w:p/>
    <w:p>
      <w:pPr>
        <w:pStyle w:val="Heading1"/>
      </w:pPr>
      <w:bookmarkStart w:id="12" w:name="_Toc12"/>
      <w:r>
        <w:t>5. Phase 2 — Proposed work</w:t>
      </w:r>
      <w:bookmarkEnd w:id="12"/>
    </w:p>
    <w:p>
      <w:pPr>
        <w:jc w:val="both"/>
        <w:spacing w:after="160" w:line="276" w:lineRule="auto"/>
      </w:pPr>
      <w:r>
        <w:rPr>
          <w:rFonts w:ascii="Calibri" w:hAnsi="Calibri" w:eastAsia="Calibri" w:cs="Calibri"/>
          <w:color w:val="2C3332"/>
          <w:sz w:val="22"/>
          <w:szCs w:val="22"/>
        </w:rPr>
        <w:t xml:space="preserve">Phase 2 builds on the communication and learning foundations delivered in Phase 1. The three workstreams below are recommended as a coherent next step.</w:t>
      </w:r>
    </w:p>
    <w:p>
      <w:pPr>
        <w:pStyle w:val="Heading2"/>
      </w:pPr>
      <w:bookmarkStart w:id="13" w:name="_Toc13"/>
      <w:r>
        <w:t>5.1 Rich media in training modules</w:t>
      </w:r>
      <w:bookmarkEnd w:id="13"/>
    </w:p>
    <w:p>
      <w:pPr>
        <w:spacing w:after="40"/>
      </w:pPr>
      <w:r>
        <w:rPr>
          <w:rFonts w:ascii="Calibri" w:hAnsi="Calibri" w:eastAsia="Calibri" w:cs="Calibri"/>
          <w:color w:val="1F3A37"/>
          <w:sz w:val="22"/>
          <w:szCs w:val="22"/>
          <w:b w:val="1"/>
          <w:bCs w:val="1"/>
        </w:rPr>
        <w:t xml:space="preserve">What would be delivered</w:t>
      </w:r>
    </w:p>
    <w:p>
      <w:pPr>
        <w:jc w:val="both"/>
        <w:spacing w:after="160" w:line="276" w:lineRule="auto"/>
      </w:pPr>
      <w:r>
        <w:rPr>
          <w:rFonts w:ascii="Calibri" w:hAnsi="Calibri" w:eastAsia="Calibri" w:cs="Calibri"/>
          <w:color w:val="2C3332"/>
          <w:sz w:val="22"/>
          <w:szCs w:val="22"/>
        </w:rPr>
        <w:t xml:space="preserve">Administrators would be able to attach video, voice messages, pictures, and PDF files to training modules — covering product, display, and customer training. Field teams would open this content in the app, rather than relying only on a video link or a short text brief. Completions and acknowledgements would continue to be tracked as they are today.</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Training can match how stores actually learn: a lookbook PDF, a voice note from merchandising, a short how-to video, or a display photograph. This reduces dependence on WhatsApp groups and keeps official material inside the platform.</w:t>
      </w:r>
    </w:p>
    <w:p>
      <w:pPr>
        <w:pStyle w:val="Heading2"/>
      </w:pPr>
      <w:bookmarkStart w:id="14" w:name="_Toc14"/>
      <w:r>
        <w:t>5.2 Rich media in announcements and notifications</w:t>
      </w:r>
      <w:bookmarkEnd w:id="14"/>
    </w:p>
    <w:p>
      <w:pPr>
        <w:spacing w:after="40"/>
      </w:pPr>
      <w:r>
        <w:rPr>
          <w:rFonts w:ascii="Calibri" w:hAnsi="Calibri" w:eastAsia="Calibri" w:cs="Calibri"/>
          <w:color w:val="1F3A37"/>
          <w:sz w:val="22"/>
          <w:szCs w:val="22"/>
          <w:b w:val="1"/>
          <w:bCs w:val="1"/>
        </w:rPr>
        <w:t xml:space="preserve">What would be delivered</w:t>
      </w:r>
    </w:p>
    <w:p>
      <w:pPr>
        <w:jc w:val="both"/>
        <w:spacing w:after="160" w:line="276" w:lineRule="auto"/>
      </w:pPr>
      <w:r>
        <w:rPr>
          <w:rFonts w:ascii="Calibri" w:hAnsi="Calibri" w:eastAsia="Calibri" w:cs="Calibri"/>
          <w:color w:val="2C3332"/>
          <w:sz w:val="22"/>
          <w:szCs w:val="22"/>
        </w:rPr>
        <w:t xml:space="preserve">The Announcements section would accept the same media types: video, voice, pictures, and PDF. A campaign could then include a flyer, a voice briefing, a short video, or a PDF circular, sent either to a whole role or to selected people — using the announcement and notification options introduced in Phase 1.</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Head office can brief stores with the actual asset they need to use on the floor, instead of describing it in text only. Recipients keep a record of official communication in the app.</w:t>
      </w:r>
    </w:p>
    <w:p>
      <w:pPr>
        <w:pStyle w:val="Heading2"/>
      </w:pPr>
      <w:bookmarkStart w:id="15" w:name="_Toc15"/>
      <w:r>
        <w:t>5.3 Admin user in the mobile app</w:t>
      </w:r>
      <w:bookmarkEnd w:id="15"/>
    </w:p>
    <w:p>
      <w:pPr>
        <w:spacing w:after="40"/>
      </w:pPr>
      <w:r>
        <w:rPr>
          <w:rFonts w:ascii="Calibri" w:hAnsi="Calibri" w:eastAsia="Calibri" w:cs="Calibri"/>
          <w:color w:val="1F3A37"/>
          <w:sz w:val="22"/>
          <w:szCs w:val="22"/>
          <w:b w:val="1"/>
          <w:bCs w:val="1"/>
        </w:rPr>
        <w:t xml:space="preserve">What would be delivered</w:t>
      </w:r>
    </w:p>
    <w:p>
      <w:pPr>
        <w:jc w:val="both"/>
        <w:spacing w:after="160" w:line="276" w:lineRule="auto"/>
      </w:pPr>
      <w:r>
        <w:rPr>
          <w:rFonts w:ascii="Calibri" w:hAnsi="Calibri" w:eastAsia="Calibri" w:cs="Calibri"/>
          <w:color w:val="2C3332"/>
          <w:sz w:val="22"/>
          <w:szCs w:val="22"/>
        </w:rPr>
        <w:t xml:space="preserve">A dedicated Admin login would be added to the mobile app, separate from Sales Staff, Branch Manager, and ASM. Administrators would sign in with their own credentials, see screens appropriate to operations (for example feedback, announcements, and activity), and receive push notifications. Access would be limited to what an admin needs in the field; detailed configuration would remain on the web panel.</w:t>
      </w:r>
    </w:p>
    <w:p>
      <w:pPr>
        <w:spacing w:after="40"/>
      </w:pPr>
      <w:r>
        <w:rPr>
          <w:rFonts w:ascii="Calibri" w:hAnsi="Calibri" w:eastAsia="Calibri" w:cs="Calibri"/>
          <w:color w:val="1F3A37"/>
          <w:sz w:val="22"/>
          <w:szCs w:val="22"/>
          <w:b w:val="1"/>
          <w:bCs w:val="1"/>
        </w:rPr>
        <w:t xml:space="preserve">Business benefit</w:t>
      </w:r>
    </w:p>
    <w:p>
      <w:pPr>
        <w:jc w:val="both"/>
        <w:spacing w:after="160" w:line="276" w:lineRule="auto"/>
      </w:pPr>
      <w:r>
        <w:rPr>
          <w:rFonts w:ascii="Calibri" w:hAnsi="Calibri" w:eastAsia="Calibri" w:cs="Calibri"/>
          <w:color w:val="2C3332"/>
          <w:sz w:val="22"/>
          <w:szCs w:val="22"/>
        </w:rPr>
        <w:t xml:space="preserve">Operations and merchandising teams could review feedback, send a notice, and check activity from a phone during store visits, without waiting to return to a desktop.</w:t>
      </w:r>
    </w:p>
    <w:p>
      <w:pPr>
        <w:pStyle w:val="Heading2"/>
      </w:pPr>
      <w:bookmarkStart w:id="16" w:name="_Toc16"/>
      <w:r>
        <w:t>5.4 Suggested sequence</w:t>
      </w:r>
      <w:bookmarkEnd w:id="16"/>
    </w:p>
    <w:p>
      <w:pPr>
        <w:jc w:val="start"/>
        <w:spacing w:after="160" w:line="276" w:lineRule="auto"/>
      </w:pPr>
      <w:r>
        <w:rPr>
          <w:rFonts w:ascii="Calibri" w:hAnsi="Calibri" w:eastAsia="Calibri" w:cs="Calibri"/>
          <w:color w:val="2C3332"/>
          <w:sz w:val="22"/>
          <w:szCs w:val="22"/>
        </w:rPr>
        <w:t xml:space="preserve">To reduce risk and deliver value early, Phase 2 is best built in this order:</w:t>
      </w:r>
    </w:p>
    <w:tbl>
      <w:tblGrid>
        <w:gridCol w:w="600" w:type="dxa"/>
        <w:gridCol w:w="2200" w:type="dxa"/>
        <w:gridCol w:w="2200" w:type="dxa"/>
      </w:tblGrid>
      <w:tblPr>
        <w:jc w:val="center"/>
        <w:tblW w:w="5000" w:type="pct"/>
        <w:tblLayout w:type="autofit"/>
        <w:tblCellMar>
          <w:top w:w="80" w:type="dxa"/>
          <w:left w:w="80" w:type="dxa"/>
          <w:right w:w="80" w:type="dxa"/>
          <w:bottom w:w="80" w:type="dxa"/>
        </w:tblCellMar>
        <w:tblBorders>
          <w:top w:val="single" w:sz="4" w:color="C5D5D2"/>
          <w:left w:val="single" w:sz="4" w:color="C5D5D2"/>
          <w:right w:val="single" w:sz="4" w:color="C5D5D2"/>
          <w:bottom w:val="single" w:sz="4" w:color="C5D5D2"/>
          <w:insideH w:val="single" w:sz="4" w:color="C5D5D2"/>
          <w:insideV w:val="single" w:sz="4" w:color="C5D5D2"/>
        </w:tblBorders>
      </w:tblPr>
      <w:tr>
        <w:trPr/>
        <w:tc>
          <w:tcPr>
            <w:tcW w:w="600" w:type="dxa"/>
            <w:shd w:val="clear" w:fill="609B90"/>
            <w:noWrap/>
          </w:tcPr>
          <w:p>
            <w:pPr>
              <w:spacing w:before="40" w:after="0"/>
            </w:pPr>
            <w:r>
              <w:rPr>
                <w:rFonts w:ascii="Calibri" w:hAnsi="Calibri" w:eastAsia="Calibri" w:cs="Calibri"/>
                <w:color w:val="FFFFFF"/>
                <w:sz w:val="20"/>
                <w:szCs w:val="20"/>
                <w:b w:val="1"/>
                <w:bCs w:val="1"/>
              </w:rPr>
              <w:t xml:space="preserve">Step</w:t>
            </w:r>
          </w:p>
        </w:tc>
        <w:tc>
          <w:tcPr>
            <w:tcW w:w="2200" w:type="dxa"/>
            <w:shd w:val="clear" w:fill="609B90"/>
            <w:noWrap/>
          </w:tcPr>
          <w:p>
            <w:pPr>
              <w:spacing w:before="40" w:after="0"/>
            </w:pPr>
            <w:r>
              <w:rPr>
                <w:rFonts w:ascii="Calibri" w:hAnsi="Calibri" w:eastAsia="Calibri" w:cs="Calibri"/>
                <w:color w:val="FFFFFF"/>
                <w:sz w:val="20"/>
                <w:szCs w:val="20"/>
                <w:b w:val="1"/>
                <w:bCs w:val="1"/>
              </w:rPr>
              <w:t xml:space="preserve">Workstream</w:t>
            </w:r>
          </w:p>
        </w:tc>
        <w:tc>
          <w:tcPr>
            <w:tcW w:w="2200" w:type="dxa"/>
            <w:shd w:val="clear" w:fill="609B90"/>
            <w:noWrap/>
          </w:tcPr>
          <w:p>
            <w:pPr>
              <w:spacing w:before="40" w:after="0"/>
            </w:pPr>
            <w:r>
              <w:rPr>
                <w:rFonts w:ascii="Calibri" w:hAnsi="Calibri" w:eastAsia="Calibri" w:cs="Calibri"/>
                <w:color w:val="FFFFFF"/>
                <w:sz w:val="20"/>
                <w:szCs w:val="20"/>
                <w:b w:val="1"/>
                <w:bCs w:val="1"/>
              </w:rPr>
              <w:t xml:space="preserve">Outcome</w:t>
            </w:r>
          </w:p>
        </w:tc>
      </w:tr>
      <w:tr>
        <w:trPr/>
        <w:tc>
          <w:tcPr>
            <w:tcW w:w="600" w:type="dxa"/>
            <w:noWrap/>
          </w:tcPr>
          <w:p>
            <w:pPr>
              <w:spacing w:before="40" w:after="0"/>
            </w:pPr>
            <w:r>
              <w:rPr>
                <w:rFonts w:ascii="Calibri" w:hAnsi="Calibri" w:eastAsia="Calibri" w:cs="Calibri"/>
                <w:color w:val="2C3332"/>
                <w:sz w:val="20"/>
                <w:szCs w:val="20"/>
              </w:rPr>
              <w:t xml:space="preserve">1</w:t>
            </w:r>
          </w:p>
        </w:tc>
        <w:tc>
          <w:tcPr>
            <w:tcW w:w="2200" w:type="dxa"/>
            <w:noWrap/>
          </w:tcPr>
          <w:p>
            <w:pPr>
              <w:spacing w:before="40" w:after="0"/>
            </w:pPr>
            <w:r>
              <w:rPr>
                <w:rFonts w:ascii="Calibri" w:hAnsi="Calibri" w:eastAsia="Calibri" w:cs="Calibri"/>
                <w:color w:val="2C3332"/>
                <w:sz w:val="20"/>
                <w:szCs w:val="20"/>
              </w:rPr>
              <w:t xml:space="preserve">Training modules — video, voice, pictures, and PDF</w:t>
            </w:r>
          </w:p>
        </w:tc>
        <w:tc>
          <w:tcPr>
            <w:tcW w:w="2200" w:type="dxa"/>
            <w:noWrap/>
          </w:tcPr>
          <w:p>
            <w:pPr>
              <w:spacing w:before="40" w:after="0"/>
            </w:pPr>
            <w:r>
              <w:rPr>
                <w:rFonts w:ascii="Calibri" w:hAnsi="Calibri" w:eastAsia="Calibri" w:cs="Calibri"/>
                <w:color w:val="2C3332"/>
                <w:sz w:val="20"/>
                <w:szCs w:val="20"/>
              </w:rPr>
              <w:t xml:space="preserve">Field teams receive richer official training in the app.</w:t>
            </w:r>
          </w:p>
        </w:tc>
      </w:tr>
      <w:tr>
        <w:trPr/>
        <w:tc>
          <w:tcPr>
            <w:tcW w:w="600" w:type="dxa"/>
            <w:shd w:val="clear" w:fill="F4F8F7"/>
            <w:noWrap/>
          </w:tcPr>
          <w:p>
            <w:pPr>
              <w:spacing w:before="40" w:after="0"/>
            </w:pPr>
            <w:r>
              <w:rPr>
                <w:rFonts w:ascii="Calibri" w:hAnsi="Calibri" w:eastAsia="Calibri" w:cs="Calibri"/>
                <w:color w:val="2C3332"/>
                <w:sz w:val="20"/>
                <w:szCs w:val="20"/>
              </w:rPr>
              <w:t xml:space="preserve">2</w:t>
            </w:r>
          </w:p>
        </w:tc>
        <w:tc>
          <w:tcPr>
            <w:tcW w:w="2200" w:type="dxa"/>
            <w:shd w:val="clear" w:fill="F4F8F7"/>
            <w:noWrap/>
          </w:tcPr>
          <w:p>
            <w:pPr>
              <w:spacing w:before="40" w:after="0"/>
            </w:pPr>
            <w:r>
              <w:rPr>
                <w:rFonts w:ascii="Calibri" w:hAnsi="Calibri" w:eastAsia="Calibri" w:cs="Calibri"/>
                <w:color w:val="2C3332"/>
                <w:sz w:val="20"/>
                <w:szCs w:val="20"/>
              </w:rPr>
              <w:t xml:space="preserve">Announcements and notifications — same media types</w:t>
            </w:r>
          </w:p>
        </w:tc>
        <w:tc>
          <w:tcPr>
            <w:tcW w:w="2200" w:type="dxa"/>
            <w:shd w:val="clear" w:fill="F4F8F7"/>
            <w:noWrap/>
          </w:tcPr>
          <w:p>
            <w:pPr>
              <w:spacing w:before="40" w:after="0"/>
            </w:pPr>
            <w:r>
              <w:rPr>
                <w:rFonts w:ascii="Calibri" w:hAnsi="Calibri" w:eastAsia="Calibri" w:cs="Calibri"/>
                <w:color w:val="2C3332"/>
                <w:sz w:val="20"/>
                <w:szCs w:val="20"/>
              </w:rPr>
              <w:t xml:space="preserve">Campaigns and circulars can include the actual file or recording.</w:t>
            </w:r>
          </w:p>
        </w:tc>
      </w:tr>
      <w:tr>
        <w:trPr/>
        <w:tc>
          <w:tcPr>
            <w:tcW w:w="600" w:type="dxa"/>
            <w:noWrap/>
          </w:tcPr>
          <w:p>
            <w:pPr>
              <w:spacing w:before="40" w:after="0"/>
            </w:pPr>
            <w:r>
              <w:rPr>
                <w:rFonts w:ascii="Calibri" w:hAnsi="Calibri" w:eastAsia="Calibri" w:cs="Calibri"/>
                <w:color w:val="2C3332"/>
                <w:sz w:val="20"/>
                <w:szCs w:val="20"/>
              </w:rPr>
              <w:t xml:space="preserve">3</w:t>
            </w:r>
          </w:p>
        </w:tc>
        <w:tc>
          <w:tcPr>
            <w:tcW w:w="2200" w:type="dxa"/>
            <w:noWrap/>
          </w:tcPr>
          <w:p>
            <w:pPr>
              <w:spacing w:before="40" w:after="0"/>
            </w:pPr>
            <w:r>
              <w:rPr>
                <w:rFonts w:ascii="Calibri" w:hAnsi="Calibri" w:eastAsia="Calibri" w:cs="Calibri"/>
                <w:color w:val="2C3332"/>
                <w:sz w:val="20"/>
                <w:szCs w:val="20"/>
              </w:rPr>
              <w:t xml:space="preserve">Admin role in the mobile app</w:t>
            </w:r>
          </w:p>
        </w:tc>
        <w:tc>
          <w:tcPr>
            <w:tcW w:w="2200" w:type="dxa"/>
            <w:noWrap/>
          </w:tcPr>
          <w:p>
            <w:pPr>
              <w:spacing w:before="40" w:after="0"/>
            </w:pPr>
            <w:r>
              <w:rPr>
                <w:rFonts w:ascii="Calibri" w:hAnsi="Calibri" w:eastAsia="Calibri" w:cs="Calibri"/>
                <w:color w:val="2C3332"/>
                <w:sz w:val="20"/>
                <w:szCs w:val="20"/>
              </w:rPr>
              <w:t xml:space="preserve">Login, scoped screens, and push notifications for operations users.</w:t>
            </w:r>
          </w:p>
        </w:tc>
      </w:tr>
    </w:tbl>
    <w:p/>
    <w:p>
      <w:pPr>
        <w:jc w:val="start"/>
        <w:spacing w:after="160" w:line="276" w:lineRule="auto"/>
      </w:pPr>
      <w:r>
        <w:rPr>
          <w:rFonts w:ascii="Calibri" w:hAnsi="Calibri" w:eastAsia="Calibri" w:cs="Calibri"/>
          <w:color w:val="5A6A68"/>
          <w:sz w:val="20"/>
          <w:szCs w:val="20"/>
          <w:i w:val="1"/>
          <w:iCs w:val="1"/>
        </w:rPr>
        <w:t xml:space="preserve">Each step can be demonstrated independently. Confirmation of this sequence — or a change in priority — is requested before development starts.</w:t>
      </w:r>
    </w:p>
    <w:p>
      <w:pPr>
        <w:pStyle w:val="Heading1"/>
      </w:pPr>
      <w:bookmarkStart w:id="17" w:name="_Toc17"/>
      <w:r>
        <w:t>6. Outcomes and next step</w:t>
      </w:r>
      <w:bookmarkEnd w:id="17"/>
    </w:p>
    <w:p>
      <w:pPr>
        <w:jc w:val="both"/>
        <w:spacing w:after="160" w:line="276" w:lineRule="auto"/>
      </w:pPr>
      <w:r>
        <w:rPr>
          <w:rFonts w:ascii="Calibri" w:hAnsi="Calibri" w:eastAsia="Calibri" w:cs="Calibri"/>
          <w:color w:val="2C3332"/>
          <w:sz w:val="22"/>
          <w:szCs w:val="22"/>
        </w:rPr>
        <w:t xml:space="preserve">Phase 1 leaves the platform in a stronger position: reporting numbers can be trusted, commission in the app matches the admin panel, filters work as expected, line items stay in step with the sales feed, and communication between admin and the app is reliable. Feedback from the field is visible. Announcements and targeted notifications sit on one screen.</w:t>
      </w:r>
    </w:p>
    <w:p>
      <w:pPr>
        <w:jc w:val="both"/>
        <w:spacing w:after="160" w:line="276" w:lineRule="auto"/>
      </w:pPr>
      <w:r>
        <w:rPr>
          <w:rFonts w:ascii="Calibri" w:hAnsi="Calibri" w:eastAsia="Calibri" w:cs="Calibri"/>
          <w:color w:val="2C3332"/>
          <w:sz w:val="22"/>
          <w:szCs w:val="22"/>
        </w:rPr>
        <w:t xml:space="preserve">Phase 2 is the natural continuation: richer training and announcement content, plus an Admin presence in the mobile app. Please confirm the Phase 2 scope and sequence in Section 5 so implementation can begin.</w:t>
      </w:r>
    </w:p>
    <w:p/>
    <w:tbl>
      <w:tblGrid>
        <w:gridCol w:w="5000" w:type="dxa"/>
      </w:tblGrid>
      <w:tblPr>
        <w:jc w:val="center"/>
        <w:tblW w:w="5000" w:type="pct"/>
        <w:tblLayout w:type="autofit"/>
        <w:tblCellMar>
          <w:top w:w="120" w:type="dxa"/>
          <w:left w:w="120" w:type="dxa"/>
          <w:right w:w="120" w:type="dxa"/>
          <w:bottom w:w="120" w:type="dxa"/>
        </w:tblCellMar>
        <w:tblBorders>
          <w:top w:val="single" w:sz="8" w:color="609B90"/>
          <w:left w:val="single" w:sz="8" w:color="609B90"/>
          <w:right w:val="single" w:sz="8" w:color="609B90"/>
          <w:bottom w:val="single" w:sz="8" w:color="609B90"/>
          <w:insideH w:val="single" w:sz="8" w:color="609B90"/>
          <w:insideV w:val="single" w:sz="8" w:color="609B90"/>
        </w:tblBorders>
      </w:tblPr>
      <w:tr>
        <w:trPr/>
        <w:tc>
          <w:tcPr>
            <w:tcW w:w="5000" w:type="dxa"/>
            <w:shd w:val="clear" w:fill="F4F8F7"/>
            <w:noWrap/>
          </w:tcPr>
          <w:p>
            <w:pPr>
              <w:spacing w:after="60"/>
            </w:pPr>
            <w:r>
              <w:rPr>
                <w:rFonts w:ascii="Calibri" w:hAnsi="Calibri" w:eastAsia="Calibri" w:cs="Calibri"/>
                <w:color w:val="609B90"/>
                <w:sz w:val="22"/>
                <w:szCs w:val="22"/>
                <w:b w:val="1"/>
                <w:bCs w:val="1"/>
              </w:rPr>
              <w:t xml:space="preserve">Requested decision</w:t>
            </w:r>
          </w:p>
          <w:p>
            <w:pPr>
              <w:spacing w:after="0"/>
            </w:pPr>
            <w:r>
              <w:rPr>
                <w:rFonts w:ascii="Calibri" w:hAnsi="Calibri" w:eastAsia="Calibri" w:cs="Calibri"/>
                <w:color w:val="2C3332"/>
                <w:sz w:val="22"/>
                <w:szCs w:val="22"/>
              </w:rPr>
              <w:t xml:space="preserve">Please confirm whether Phase 2 should proceed as described: (1) rich media for training, (2) rich media for announcements and notifications, and (3) an Admin user in the mobile app — in that order. Any change in priority can be noted against this document.</w:t>
            </w:r>
          </w:p>
        </w:tc>
      </w:tr>
    </w:tbl>
    <w:p/>
    <w:p/>
    <w:p>
      <w:pPr>
        <w:jc w:val="center"/>
      </w:pPr>
      <w:r>
        <w:rPr>
          <w:rFonts w:ascii="Calibri" w:hAnsi="Calibri" w:eastAsia="Calibri" w:cs="Calibri"/>
          <w:color w:val="5A6A68"/>
          <w:sz w:val="18"/>
          <w:szCs w:val="18"/>
          <w:i w:val="1"/>
          <w:iCs w:val="1"/>
        </w:rPr>
        <w:t xml:space="preserve">— End of document —</w:t>
      </w:r>
    </w:p>
    <w:sectPr>
      <w:headerReference w:type="default" r:id="rId7"/>
      <w:footerReference w:type="default" r:id="rId8"/>
      <w:pgSz w:orient="portrait" w:w="11905.511811023622" w:h="16837.79527559055"/>
      <w:pgMar w:top="1100" w:right="1200" w:bottom="1100" w:left="1200" w:header="500" w:footer="50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pict>
        <v:shapetype id="_x0000_t32" coordsize="21600,21600" o:spt="32" o:oned="t" path="m,l21600,21600e" filled="f">
          <v:path arrowok="t" fillok="f" o:connecttype="none"/>
          <o:lock v:ext="edit" shapetype="t"/>
        </v:shapetype>
        <v:shape id="_x0000_s1001" type="#_x0000_t32" style="width:450pt; height:0pt; margin-left:0pt; margin-top:0pt; mso-position-horizontal:left; mso-position-vertical:top; mso-position-horizontal-relative:char; mso-position-vertical-relative:line;">
          <w10:wrap type="inline"/>
          <v:stroke weight="1pt" color="609B90"/>
        </v:shape>
      </w:pict>
    </w:r>
  </w:p>
  <w:tbl>
    <w:tblGrid>
      <w:gridCol w:w="2500" w:type="dxa"/>
      <w:gridCol w:w="2500" w:type="dxa"/>
    </w:tblGrid>
    <w:tblPr>
      <w:jc w:val="center"/>
      <w:tblW w:w="5000" w:type="pct"/>
      <w:tblLayout w:type="autofit"/>
    </w:tblPr>
    <w:tr>
      <w:trPr/>
      <w:tc>
        <w:tcPr>
          <w:tcW w:w="2500" w:type="dxa"/>
          <w:noWrap/>
        </w:tcPr>
        <w:p>
          <w:pPr>
            <w:jc w:val="start"/>
            <w:spacing w:after="0"/>
          </w:pPr>
          <w:r>
            <w:rPr>
              <w:rFonts w:ascii="Calibri" w:hAnsi="Calibri" w:eastAsia="Calibri" w:cs="Calibri"/>
              <w:color w:val="5A6A68"/>
              <w:sz w:val="16"/>
              <w:szCs w:val="16"/>
            </w:rPr>
            <w:t xml:space="preserve">Confidential  ·  Prepared for Limelight</w:t>
          </w:r>
        </w:p>
      </w:tc>
      <w:tc>
        <w:tcPr>
          <w:tcW w:w="2500" w:type="dxa"/>
          <w:noWrap/>
        </w:tcPr>
        <w:p>
          <w:pPr>
            <w:jc w:val="end"/>
            <w:spacing w:after="0"/>
          </w:pPr>
          <w:r>
            <w:rPr>
              <w:rFonts w:ascii="Calibri" w:hAnsi="Calibri" w:eastAsia="Calibri" w:cs="Calibri"/>
              <w:color w:val="5A6A68"/>
              <w:sz w:val="16"/>
              <w:szCs w:val="16"/>
            </w:rPr>
            <w:t xml:space="preserve">Page </w:t>
          </w:r>
          <w:r>
            <w:fldChar w:fldCharType="begin"/>
          </w:r>
          <w:r>
            <w:rPr>
              <w:rFonts w:ascii="Calibri" w:hAnsi="Calibri" w:eastAsia="Calibri" w:cs="Calibri"/>
              <w:color w:val="5A6A68"/>
              <w:sz w:val="16"/>
              <w:szCs w:val="16"/>
            </w:rPr>
            <w:instrText xml:space="preserve">PAGE</w:instrText>
          </w:r>
          <w:r>
            <w:fldChar w:fldCharType="separate"/>
          </w:r>
          <w:r>
            <w:fldChar w:fldCharType="end"/>
          </w:r>
          <w:r>
            <w:rPr>
              <w:rFonts w:ascii="Calibri" w:hAnsi="Calibri" w:eastAsia="Calibri" w:cs="Calibri"/>
              <w:color w:val="5A6A68"/>
              <w:sz w:val="16"/>
              <w:szCs w:val="16"/>
            </w:rPr>
            <w:t xml:space="preserve"> of </w:t>
          </w:r>
          <w:r>
            <w:fldChar w:fldCharType="begin"/>
          </w:r>
          <w:r>
            <w:rPr>
              <w:rFonts w:ascii="Calibri" w:hAnsi="Calibri" w:eastAsia="Calibri" w:cs="Calibri"/>
              <w:color w:val="5A6A68"/>
              <w:sz w:val="16"/>
              <w:szCs w:val="16"/>
            </w:rP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start"/>
      <w:spacing w:after="0"/>
    </w:pPr>
    <w:r>
      <w:rPr>
        <w:rFonts w:ascii="Calibri" w:hAnsi="Calibri" w:eastAsia="Calibri" w:cs="Calibri"/>
        <w:color w:val="609B90"/>
        <w:sz w:val="18"/>
        <w:szCs w:val="18"/>
        <w:i w:val="1"/>
        <w:iCs w:val="1"/>
      </w:rPr>
      <w:t xml:space="preserve">Limelight Sales Performance  ·  Phase 1 Delivery Report and Phase 2 Proposal</w:t>
    </w:r>
  </w:p>
  <w:p>
    <w:pPr/>
    <w:r>
      <w:pict>
        <v:shape id="_x0000_s1002" type="#_x0000_t32" style="width:450pt; height:0pt; margin-left:0pt; margin-top:0pt; mso-position-horizontal:left; mso-position-vertical:top; mso-position-horizontal-relative:char; mso-position-vertical-relative:line;">
          <w10:wrap type="inline"/>
          <v:stroke weight="1pt" color="609B90"/>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GB"/>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609B90"/>
      <w:sz w:val="40"/>
      <w:szCs w:val="40"/>
      <w:b w:val="1"/>
      <w:bCs w:val="1"/>
    </w:rPr>
  </w:style>
  <w:style w:type="paragraph" w:styleId="Heading2">
    <w:link w:val="Heading2Char"/>
    <w:name w:val="heading 2"/>
    <w:rPr>
      <w:rFonts w:ascii="Calibri" w:hAnsi="Calibri" w:eastAsia="Calibri" w:cs="Calibri"/>
      <w:color w:val="4A7A72"/>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Limelight</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Limelight Sales Performance</dc:creator>
  <dc:title>Limelight Sales Performance — Phase 1 Delivery Report and Phase 2 Proposal</dc:title>
  <dc:description>Summary of completed Phase 1 work and proposed Phase 2 enhancements.</dc:description>
  <dc:subject>Phase 1 completed / Phase 2 proposed</dc:subject>
  <cp:keywords/>
  <cp:category>Delivery report</cp:category>
  <cp:lastModifiedBy/>
  <dcterms:created xsi:type="dcterms:W3CDTF">2026-10-09T10:15:08+00:00</dcterms:created>
  <dcterms:modified xsi:type="dcterms:W3CDTF">2026-10-09T10:15:08+00:00</dcterms:modified>
</cp:coreProperties>
</file>

<file path=docProps/custom.xml><?xml version="1.0" encoding="utf-8"?>
<Properties xmlns="http://schemas.openxmlformats.org/officeDocument/2006/custom-properties" xmlns:vt="http://schemas.openxmlformats.org/officeDocument/2006/docPropsVTypes"/>
</file>