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ISE-A2  |  Domain Model and Testable Specification</w:t>
      </w:r>
    </w:p>
    <w:p>
      <w:pPr>
        <w:pStyle w:val="Subtitle"/>
      </w:pPr>
      <w:r>
        <w:rPr>
          <w:color w:val="16685D"/>
          <w:sz w:val="24"/>
        </w:rPr>
        <w:t>Assignment Deadline Change Tracking and Verification System</w:t>
      </w:r>
    </w:p>
    <w:p>
      <w:r>
        <w:t>Course: Intelligent Software Engineering     |     Assignment released: 5 October 2026     |     Due: 12 October 2026, 16:30 (Asia/Shanghai)</w:t>
      </w:r>
    </w:p>
    <w:p>
      <w:pPr>
        <w:pStyle w:val="Heading1"/>
      </w:pPr>
      <w:r>
        <w:t>1. Objective and system boundary</w:t>
      </w:r>
    </w:p>
    <w:p>
      <w:r>
        <w:t>A1 investigated the risk that a student’s manually tracked coursework deadline may not reflect a later official course notice. A2 formalizes that narrow workflow. The system stores a student-owned deadline, links proposed changes to attributable evidence, and requires an authorized review before creating a new tracked version. It does not alter the university’s official deadline, access a live LMS, or infer authenticity from arbitrary document text.</w:t>
      </w:r>
    </w:p>
    <w:p>
      <w:r>
        <w:t>Specification question: Under which domain states and evidence conditions can a proposed deadline replace the current personal record without losing history or bypassing the student?</w:t>
      </w:r>
    </w:p>
    <w:tbl>
      <w:tblPr>
        <w:tblStyle w:val="LightShading-Accent1"/>
        <w:tblW w:type="auto" w:w="0"/>
        <w:jc w:val="center"/>
        <w:tblLayout w:type="fixed"/>
        <w:tblLook w:firstColumn="1" w:firstRow="1" w:lastColumn="0" w:lastRow="0" w:noHBand="0" w:noVBand="1" w:val="04A0"/>
      </w:tblPr>
      <w:tblGrid>
        <w:gridCol w:w="3389"/>
        <w:gridCol w:w="3389"/>
        <w:gridCol w:w="3389"/>
      </w:tblGrid>
      <w:tr>
        <w:tc>
          <w:tcPr>
            <w:tcW w:type="dxa" w:w="2088"/>
            <w:shd w:fill="173754"/>
          </w:tcPr>
          <w:p>
            <w:r>
              <w:rPr>
                <w:b/>
                <w:color w:val="FFFFFF"/>
                <w:sz w:val="16"/>
              </w:rPr>
              <w:t>A1 scenario</w:t>
            </w:r>
          </w:p>
        </w:tc>
        <w:tc>
          <w:tcPr>
            <w:tcW w:type="dxa" w:w="5400"/>
            <w:shd w:fill="173754"/>
          </w:tcPr>
          <w:p>
            <w:r>
              <w:rPr>
                <w:b/>
                <w:color w:val="FFFFFF"/>
                <w:sz w:val="16"/>
              </w:rPr>
              <w:t>Domain behavior in A2</w:t>
            </w:r>
          </w:p>
        </w:tc>
        <w:tc>
          <w:tcPr>
            <w:tcW w:type="dxa" w:w="2333"/>
            <w:shd w:fill="173754"/>
          </w:tcPr>
          <w:p>
            <w:r>
              <w:rPr>
                <w:b/>
                <w:color w:val="FFFFFF"/>
                <w:sz w:val="16"/>
              </w:rPr>
              <w:t>Verification</w:t>
            </w:r>
          </w:p>
        </w:tc>
      </w:tr>
      <w:tr>
        <w:tc>
          <w:tcPr>
            <w:tcW w:type="dxa" w:w="2088"/>
            <w:vAlign w:val="center"/>
          </w:tcPr>
          <w:p>
            <w:pPr>
              <w:spacing w:after="20" w:before="20"/>
            </w:pPr>
            <w:r>
              <w:rPr>
                <w:sz w:val="16"/>
              </w:rPr>
              <w:t>N1  Clear extension</w:t>
            </w:r>
          </w:p>
        </w:tc>
        <w:tc>
          <w:tcPr>
            <w:tcW w:type="dxa" w:w="5400"/>
            <w:vAlign w:val="center"/>
          </w:tcPr>
          <w:p>
            <w:pPr>
              <w:spacing w:after="20" w:before="20"/>
            </w:pPr>
            <w:r>
              <w:rPr>
                <w:sz w:val="16"/>
              </w:rPr>
              <w:t>Verified source → pending candidate → owner confirms → versioned update</w:t>
            </w:r>
          </w:p>
        </w:tc>
        <w:tc>
          <w:tcPr>
            <w:tcW w:type="dxa" w:w="2333"/>
            <w:vAlign w:val="center"/>
          </w:tcPr>
          <w:p>
            <w:pPr>
              <w:spacing w:after="20" w:before="20"/>
            </w:pPr>
            <w:r>
              <w:rPr>
                <w:sz w:val="16"/>
              </w:rPr>
              <w:t>I1, I2, I3; successful walkthrough</w:t>
            </w:r>
          </w:p>
        </w:tc>
      </w:tr>
      <w:tr>
        <w:tc>
          <w:tcPr>
            <w:tcW w:type="dxa" w:w="2088"/>
            <w:vAlign w:val="center"/>
            <w:shd w:fill="F0F5F8"/>
          </w:tcPr>
          <w:p>
            <w:pPr>
              <w:spacing w:after="20" w:before="20"/>
            </w:pPr>
            <w:r>
              <w:rPr>
                <w:sz w:val="16"/>
              </w:rPr>
              <w:t>B1  Conflicting dates</w:t>
            </w:r>
          </w:p>
        </w:tc>
        <w:tc>
          <w:tcPr>
            <w:tcW w:type="dxa" w:w="5400"/>
            <w:vAlign w:val="center"/>
            <w:shd w:fill="F0F5F8"/>
          </w:tcPr>
          <w:p>
            <w:pPr>
              <w:spacing w:after="20" w:before="20"/>
            </w:pPr>
            <w:r>
              <w:rPr>
                <w:sz w:val="16"/>
              </w:rPr>
              <w:t>Two sources / stale base version → reject unsafe update; preserve state</w:t>
            </w:r>
          </w:p>
        </w:tc>
        <w:tc>
          <w:tcPr>
            <w:tcW w:type="dxa" w:w="2333"/>
            <w:vAlign w:val="center"/>
            <w:shd w:fill="F0F5F8"/>
          </w:tcPr>
          <w:p>
            <w:pPr>
              <w:spacing w:after="20" w:before="20"/>
            </w:pPr>
            <w:r>
              <w:rPr>
                <w:sz w:val="16"/>
              </w:rPr>
              <w:t>I3; VERSION_CONFLICT</w:t>
            </w:r>
          </w:p>
        </w:tc>
      </w:tr>
      <w:tr>
        <w:tc>
          <w:tcPr>
            <w:tcW w:type="dxa" w:w="2088"/>
            <w:vAlign w:val="center"/>
          </w:tcPr>
          <w:p>
            <w:pPr>
              <w:spacing w:after="20" w:before="20"/>
            </w:pPr>
            <w:r>
              <w:rPr>
                <w:sz w:val="16"/>
              </w:rPr>
              <w:t>A1  Malicious claim</w:t>
            </w:r>
          </w:p>
        </w:tc>
        <w:tc>
          <w:tcPr>
            <w:tcW w:type="dxa" w:w="5400"/>
            <w:vAlign w:val="center"/>
          </w:tcPr>
          <w:p>
            <w:pPr>
              <w:spacing w:after="20" w:before="20"/>
            </w:pPr>
            <w:r>
              <w:rPr>
                <w:sz w:val="16"/>
              </w:rPr>
              <w:t>Untrusted source may be recorded, but cannot authorize an update</w:t>
            </w:r>
          </w:p>
        </w:tc>
        <w:tc>
          <w:tcPr>
            <w:tcW w:type="dxa" w:w="2333"/>
            <w:vAlign w:val="center"/>
          </w:tcPr>
          <w:p>
            <w:pPr>
              <w:spacing w:after="20" w:before="20"/>
            </w:pPr>
            <w:r>
              <w:rPr>
                <w:sz w:val="16"/>
              </w:rPr>
              <w:t>I2; SOURCE_NOT_AUTHORIZED</w:t>
            </w:r>
          </w:p>
        </w:tc>
      </w:tr>
    </w:tbl>
    <w:p>
      <w:pPr>
        <w:spacing w:after="0"/>
      </w:pPr>
    </w:p>
    <w:p>
      <w:pPr>
        <w:pStyle w:val="Heading1"/>
      </w:pPr>
      <w:r>
        <w:t>2. Domain language, boundaries and events</w:t>
      </w:r>
    </w:p>
    <w:p>
      <w:r>
        <w:t>Key entities are Assignment (aggregate root), EvidenceSource, ChangeCandidate, HistoryEntry and the student owner. DeadlineValue is an immutable value object containing an ISO 8601 timestamp with UTC offset and an IANA time-zone name. The full glossary and field-level dictionary appear in Domain-Data-Dictionary-and-Rules.xlsx.</w:t>
      </w:r>
    </w:p>
    <w:tbl>
      <w:tblPr>
        <w:tblStyle w:val="LightShading-Accent1"/>
        <w:tblW w:type="auto" w:w="0"/>
        <w:jc w:val="center"/>
        <w:tblLayout w:type="fixed"/>
        <w:tblLook w:firstColumn="1" w:firstRow="1" w:lastColumn="0" w:lastRow="0" w:noHBand="0" w:noVBand="1" w:val="04A0"/>
      </w:tblPr>
      <w:tblGrid>
        <w:gridCol w:w="5083"/>
        <w:gridCol w:w="5083"/>
      </w:tblGrid>
      <w:tr>
        <w:tc>
          <w:tcPr>
            <w:tcW w:type="dxa" w:w="2376"/>
            <w:shd w:fill="173754"/>
          </w:tcPr>
          <w:p>
            <w:r>
              <w:rPr>
                <w:b/>
                <w:color w:val="FFFFFF"/>
                <w:sz w:val="16"/>
              </w:rPr>
              <w:t>Category</w:t>
            </w:r>
          </w:p>
        </w:tc>
        <w:tc>
          <w:tcPr>
            <w:tcW w:type="dxa" w:w="7445"/>
            <w:shd w:fill="173754"/>
          </w:tcPr>
          <w:p>
            <w:r>
              <w:rPr>
                <w:b/>
                <w:color w:val="FFFFFF"/>
                <w:sz w:val="16"/>
              </w:rPr>
              <w:t>Members / meaning</w:t>
            </w:r>
          </w:p>
        </w:tc>
      </w:tr>
      <w:tr>
        <w:tc>
          <w:tcPr>
            <w:tcW w:type="dxa" w:w="2376"/>
            <w:vAlign w:val="center"/>
          </w:tcPr>
          <w:p>
            <w:pPr>
              <w:spacing w:after="20" w:before="20"/>
            </w:pPr>
            <w:r>
              <w:rPr>
                <w:sz w:val="16"/>
              </w:rPr>
              <w:t>Entities</w:t>
            </w:r>
          </w:p>
        </w:tc>
        <w:tc>
          <w:tcPr>
            <w:tcW w:type="dxa" w:w="7445"/>
            <w:vAlign w:val="center"/>
          </w:tcPr>
          <w:p>
            <w:pPr>
              <w:spacing w:after="20" w:before="20"/>
            </w:pPr>
            <w:r>
              <w:rPr>
                <w:sz w:val="16"/>
              </w:rPr>
              <w:t>Student, Course, Assignment, EvidenceSource, ChangeCandidate; HistoryEntry is an immutable domain record.</w:t>
            </w:r>
          </w:p>
        </w:tc>
      </w:tr>
      <w:tr>
        <w:tc>
          <w:tcPr>
            <w:tcW w:type="dxa" w:w="2376"/>
            <w:vAlign w:val="center"/>
            <w:shd w:fill="F0F5F8"/>
          </w:tcPr>
          <w:p>
            <w:pPr>
              <w:spacing w:after="20" w:before="20"/>
            </w:pPr>
            <w:r>
              <w:rPr>
                <w:sz w:val="16"/>
              </w:rPr>
              <w:t>Value objects</w:t>
            </w:r>
          </w:p>
        </w:tc>
        <w:tc>
          <w:tcPr>
            <w:tcW w:type="dxa" w:w="7445"/>
            <w:vAlign w:val="center"/>
            <w:shd w:fill="F0F5F8"/>
          </w:tcPr>
          <w:p>
            <w:pPr>
              <w:spacing w:after="20" w:before="20"/>
            </w:pPr>
            <w:r>
              <w:rPr>
                <w:sz w:val="16"/>
              </w:rPr>
              <w:t>DeadlineValue (local timestamp and named time zone); ReviewDecision (CONFIRM or REJECT).</w:t>
            </w:r>
          </w:p>
        </w:tc>
      </w:tr>
      <w:tr>
        <w:tc>
          <w:tcPr>
            <w:tcW w:type="dxa" w:w="2376"/>
            <w:vAlign w:val="center"/>
          </w:tcPr>
          <w:p>
            <w:pPr>
              <w:spacing w:after="20" w:before="20"/>
            </w:pPr>
            <w:r>
              <w:rPr>
                <w:sz w:val="16"/>
              </w:rPr>
              <w:t>Domain events</w:t>
            </w:r>
          </w:p>
        </w:tc>
        <w:tc>
          <w:tcPr>
            <w:tcW w:type="dxa" w:w="7445"/>
            <w:vAlign w:val="center"/>
          </w:tcPr>
          <w:p>
            <w:pPr>
              <w:spacing w:after="20" w:before="20"/>
            </w:pPr>
            <w:r>
              <w:rPr>
                <w:sz w:val="16"/>
              </w:rPr>
              <w:t>CandidatePendingReview, CandidateInvalid, CandidateRejected, DeadlineChangeApplied are emitted by the reference model. Assignment registration and source receipt are conceptual input events.</w:t>
            </w:r>
          </w:p>
        </w:tc>
      </w:tr>
      <w:tr>
        <w:tc>
          <w:tcPr>
            <w:tcW w:type="dxa" w:w="2376"/>
            <w:vAlign w:val="center"/>
            <w:shd w:fill="F0F5F8"/>
          </w:tcPr>
          <w:p>
            <w:pPr>
              <w:spacing w:after="20" w:before="20"/>
            </w:pPr>
            <w:r>
              <w:rPr>
                <w:sz w:val="16"/>
              </w:rPr>
              <w:t>Trust boundaries</w:t>
            </w:r>
          </w:p>
        </w:tc>
        <w:tc>
          <w:tcPr>
            <w:tcW w:type="dxa" w:w="7445"/>
            <w:vAlign w:val="center"/>
            <w:shd w:fill="F0F5F8"/>
          </w:tcPr>
          <w:p>
            <w:pPr>
              <w:spacing w:after="20" w:before="20"/>
            </w:pPr>
            <w:r>
              <w:rPr>
                <w:sz w:val="16"/>
              </w:rPr>
              <w:t>Instructor/LMS establishes academic authority; tracker stores attributed claims; owner decides personal update; calendar is external.</w:t>
            </w:r>
          </w:p>
        </w:tc>
      </w:tr>
    </w:tbl>
    <w:p>
      <w:pPr>
        <w:spacing w:after="0"/>
      </w:pPr>
    </w:p>
    <w:p>
      <w:pPr>
        <w:spacing w:after="60"/>
        <w:jc w:val="center"/>
      </w:pPr>
      <w:r>
        <w:drawing>
          <wp:inline xmlns:a="http://schemas.openxmlformats.org/drawingml/2006/main" xmlns:pic="http://schemas.openxmlformats.org/drawingml/2006/picture">
            <wp:extent cx="6291072" cy="1976105"/>
            <wp:docPr id="1" name="Picture 1"/>
            <wp:cNvGraphicFramePr>
              <a:graphicFrameLocks noChangeAspect="1"/>
            </wp:cNvGraphicFramePr>
            <a:graphic>
              <a:graphicData uri="http://schemas.openxmlformats.org/drawingml/2006/picture">
                <pic:pic>
                  <pic:nvPicPr>
                    <pic:cNvPr id="0" name="a2_context.png"/>
                    <pic:cNvPicPr/>
                  </pic:nvPicPr>
                  <pic:blipFill>
                    <a:blip r:embed="rId11"/>
                    <a:stretch>
                      <a:fillRect/>
                    </a:stretch>
                  </pic:blipFill>
                  <pic:spPr>
                    <a:xfrm>
                      <a:off x="0" y="0"/>
                      <a:ext cx="6291072" cy="1976105"/>
                    </a:xfrm>
                    <a:prstGeom prst="rect"/>
                  </pic:spPr>
                </pic:pic>
              </a:graphicData>
            </a:graphic>
          </wp:inline>
        </w:drawing>
      </w:r>
    </w:p>
    <w:p>
      <w:pPr>
        <w:jc w:val="center"/>
      </w:pPr>
      <w:r>
        <w:rPr>
          <w:color w:val="596877"/>
          <w:sz w:val="16"/>
        </w:rPr>
        <w:t>Figure 1. Bounded context and authority map. Full-resolution vector graphic is included in diagrams/context.svg.</w:t>
      </w:r>
    </w:p>
    <w:p>
      <w:pPr>
        <w:pStyle w:val="Heading1"/>
      </w:pPr>
      <w:r>
        <w:t>3. Process model and state transitions</w:t>
      </w:r>
    </w:p>
    <w:p>
      <w:r>
        <w:t>The process separates detection from acceptance. A well-formed candidate with a different timestamp becomes PENDING_REVIEW. An invalid candidate cannot modify the deadline. An owner rejection terminates the candidate. Owner confirmation succeeds only when the linked source is verified official and the candidate base version still matches the assignment.</w:t>
      </w:r>
    </w:p>
    <w:p>
      <w:pPr>
        <w:spacing w:after="60"/>
        <w:jc w:val="center"/>
      </w:pPr>
      <w:r>
        <w:drawing>
          <wp:inline xmlns:a="http://schemas.openxmlformats.org/drawingml/2006/main" xmlns:pic="http://schemas.openxmlformats.org/drawingml/2006/picture">
            <wp:extent cx="5413248" cy="4682218"/>
            <wp:docPr id="2" name="Picture 2"/>
            <wp:cNvGraphicFramePr>
              <a:graphicFrameLocks noChangeAspect="1"/>
            </wp:cNvGraphicFramePr>
            <a:graphic>
              <a:graphicData uri="http://schemas.openxmlformats.org/drawingml/2006/picture">
                <pic:pic>
                  <pic:nvPicPr>
                    <pic:cNvPr id="0" name="a2_process.png"/>
                    <pic:cNvPicPr/>
                  </pic:nvPicPr>
                  <pic:blipFill>
                    <a:blip r:embed="rId12"/>
                    <a:stretch>
                      <a:fillRect/>
                    </a:stretch>
                  </pic:blipFill>
                  <pic:spPr>
                    <a:xfrm>
                      <a:off x="0" y="0"/>
                      <a:ext cx="5413248" cy="4682218"/>
                    </a:xfrm>
                    <a:prstGeom prst="rect"/>
                  </pic:spPr>
                </pic:pic>
              </a:graphicData>
            </a:graphic>
          </wp:inline>
        </w:drawing>
      </w:r>
    </w:p>
    <w:p>
      <w:pPr>
        <w:jc w:val="center"/>
      </w:pPr>
      <w:r>
        <w:rPr>
          <w:color w:val="596877"/>
          <w:sz w:val="16"/>
        </w:rPr>
        <w:t>Figure 2. Event flow including validation failures, rejection, blocked confirmation, and successful versioning.</w:t>
      </w:r>
    </w:p>
    <w:p>
      <w:pPr>
        <w:spacing w:after="60"/>
        <w:jc w:val="center"/>
      </w:pPr>
      <w:r>
        <w:drawing>
          <wp:inline xmlns:a="http://schemas.openxmlformats.org/drawingml/2006/main" xmlns:pic="http://schemas.openxmlformats.org/drawingml/2006/picture">
            <wp:extent cx="6263640" cy="1662112"/>
            <wp:docPr id="3" name="Picture 3"/>
            <wp:cNvGraphicFramePr>
              <a:graphicFrameLocks noChangeAspect="1"/>
            </wp:cNvGraphicFramePr>
            <a:graphic>
              <a:graphicData uri="http://schemas.openxmlformats.org/drawingml/2006/picture">
                <pic:pic>
                  <pic:nvPicPr>
                    <pic:cNvPr id="0" name="a2_state.png"/>
                    <pic:cNvPicPr/>
                  </pic:nvPicPr>
                  <pic:blipFill>
                    <a:blip r:embed="rId13"/>
                    <a:stretch>
                      <a:fillRect/>
                    </a:stretch>
                  </pic:blipFill>
                  <pic:spPr>
                    <a:xfrm>
                      <a:off x="0" y="0"/>
                      <a:ext cx="6263640" cy="1662112"/>
                    </a:xfrm>
                    <a:prstGeom prst="rect"/>
                  </pic:spPr>
                </pic:pic>
              </a:graphicData>
            </a:graphic>
          </wp:inline>
        </w:drawing>
      </w:r>
    </w:p>
    <w:p>
      <w:pPr>
        <w:jc w:val="center"/>
      </w:pPr>
      <w:r>
        <w:rPr>
          <w:color w:val="596877"/>
          <w:sz w:val="16"/>
        </w:rPr>
        <w:t>Figure 3. Candidate lifecycle. A failed guard returns an error without advancing PENDING_REVIEW.</w:t>
      </w:r>
    </w:p>
    <w:p>
      <w:pPr>
        <w:pStyle w:val="Heading1"/>
      </w:pPr>
      <w:r>
        <w:t>4. Data dictionary and consistency</w:t>
      </w:r>
    </w:p>
    <w:p>
      <w:r>
        <w:t>The workbook defines 31 fields across Assignment, DeadlineValue, EvidenceSource, ChangeCandidate, HistoryEntry and DomainEvent, including type, required status, constraints, origin, privacy classification and proposed retention. The model stores local offset-aware timestamps and compares their UTC instants. Assignment.version starts at 1 and increments only for a newly applied revision.</w:t>
      </w:r>
    </w:p>
    <w:tbl>
      <w:tblPr>
        <w:tblStyle w:val="LightShading-Accent1"/>
        <w:tblW w:type="auto" w:w="0"/>
        <w:jc w:val="center"/>
        <w:tblLayout w:type="fixed"/>
        <w:tblLook w:firstColumn="1" w:firstRow="1" w:lastColumn="0" w:lastRow="0" w:noHBand="0" w:noVBand="1" w:val="04A0"/>
      </w:tblPr>
      <w:tblGrid>
        <w:gridCol w:w="5083"/>
        <w:gridCol w:w="5083"/>
      </w:tblGrid>
      <w:tr>
        <w:tc>
          <w:tcPr>
            <w:tcW w:type="dxa" w:w="3168"/>
            <w:shd w:fill="173754"/>
          </w:tcPr>
          <w:p>
            <w:r>
              <w:rPr>
                <w:b/>
                <w:color w:val="FFFFFF"/>
                <w:sz w:val="17"/>
              </w:rPr>
              <w:t>Key relationship</w:t>
            </w:r>
          </w:p>
        </w:tc>
        <w:tc>
          <w:tcPr>
            <w:tcW w:type="dxa" w:w="6653"/>
            <w:shd w:fill="173754"/>
          </w:tcPr>
          <w:p>
            <w:r>
              <w:rPr>
                <w:b/>
                <w:color w:val="FFFFFF"/>
                <w:sz w:val="17"/>
              </w:rPr>
              <w:t>Constraint</w:t>
            </w:r>
          </w:p>
        </w:tc>
      </w:tr>
      <w:tr>
        <w:tc>
          <w:tcPr>
            <w:tcW w:type="dxa" w:w="3168"/>
            <w:vAlign w:val="center"/>
          </w:tcPr>
          <w:p>
            <w:pPr>
              <w:spacing w:after="20" w:before="20"/>
            </w:pPr>
            <w:r>
              <w:rPr>
                <w:sz w:val="17"/>
              </w:rPr>
              <w:t>Assignment → Student</w:t>
            </w:r>
          </w:p>
        </w:tc>
        <w:tc>
          <w:tcPr>
            <w:tcW w:type="dxa" w:w="6653"/>
            <w:vAlign w:val="center"/>
          </w:tcPr>
          <w:p>
            <w:pPr>
              <w:spacing w:after="20" w:before="20"/>
            </w:pPr>
            <w:r>
              <w:rPr>
                <w:sz w:val="17"/>
              </w:rPr>
              <w:t>Exactly one owner for each student-maintained assignment record.</w:t>
            </w:r>
          </w:p>
        </w:tc>
      </w:tr>
      <w:tr>
        <w:tc>
          <w:tcPr>
            <w:tcW w:type="dxa" w:w="3168"/>
            <w:vAlign w:val="center"/>
            <w:shd w:fill="F0F5F8"/>
          </w:tcPr>
          <w:p>
            <w:pPr>
              <w:spacing w:after="20" w:before="20"/>
            </w:pPr>
            <w:r>
              <w:rPr>
                <w:sz w:val="17"/>
              </w:rPr>
              <w:t>ChangeCandidate → Assignment + EvidenceSource</w:t>
            </w:r>
          </w:p>
        </w:tc>
        <w:tc>
          <w:tcPr>
            <w:tcW w:type="dxa" w:w="6653"/>
            <w:vAlign w:val="center"/>
            <w:shd w:fill="F0F5F8"/>
          </w:tcPr>
          <w:p>
            <w:pPr>
              <w:spacing w:after="20" w:before="20"/>
            </w:pPr>
            <w:r>
              <w:rPr>
                <w:sz w:val="17"/>
              </w:rPr>
              <w:t>Both references must exist and source.assignment_id must match candidate.assignment_id.</w:t>
            </w:r>
          </w:p>
        </w:tc>
      </w:tr>
      <w:tr>
        <w:tc>
          <w:tcPr>
            <w:tcW w:type="dxa" w:w="3168"/>
            <w:vAlign w:val="center"/>
          </w:tcPr>
          <w:p>
            <w:pPr>
              <w:spacing w:after="20" w:before="20"/>
            </w:pPr>
            <w:r>
              <w:rPr>
                <w:sz w:val="17"/>
              </w:rPr>
              <w:t>HistoryEntry → applied candidate</w:t>
            </w:r>
          </w:p>
        </w:tc>
        <w:tc>
          <w:tcPr>
            <w:tcW w:type="dxa" w:w="6653"/>
            <w:vAlign w:val="center"/>
          </w:tcPr>
          <w:p>
            <w:pPr>
              <w:spacing w:after="20" w:before="20"/>
            </w:pPr>
            <w:r>
              <w:rPr>
                <w:sz w:val="17"/>
              </w:rPr>
              <w:t>A successful confirmation creates one immutable entry with old_version + 1 = new_version.</w:t>
            </w:r>
          </w:p>
        </w:tc>
      </w:tr>
      <w:tr>
        <w:tc>
          <w:tcPr>
            <w:tcW w:type="dxa" w:w="3168"/>
            <w:vAlign w:val="center"/>
            <w:shd w:fill="F0F5F8"/>
          </w:tcPr>
          <w:p>
            <w:pPr>
              <w:spacing w:after="20" w:before="20"/>
            </w:pPr>
            <w:r>
              <w:rPr>
                <w:sz w:val="17"/>
              </w:rPr>
              <w:t>EvidenceSource → authority</w:t>
            </w:r>
          </w:p>
        </w:tc>
        <w:tc>
          <w:tcPr>
            <w:tcW w:type="dxa" w:w="6653"/>
            <w:vAlign w:val="center"/>
            <w:shd w:fill="F0F5F8"/>
          </w:tcPr>
          <w:p>
            <w:pPr>
              <w:spacing w:after="20" w:before="20"/>
            </w:pPr>
            <w:r>
              <w:rPr>
                <w:sz w:val="17"/>
              </w:rPr>
              <w:t>source kind and externally verified flag are checked; hash alone does not authenticate origin.</w:t>
            </w:r>
          </w:p>
        </w:tc>
      </w:tr>
    </w:tbl>
    <w:p>
      <w:pPr>
        <w:spacing w:after="0"/>
      </w:pPr>
    </w:p>
    <w:p>
      <w:pPr>
        <w:pStyle w:val="Heading1"/>
      </w:pPr>
      <w:r>
        <w:t>5. Invariants with violating examples</w:t>
      </w:r>
    </w:p>
    <w:tbl>
      <w:tblPr>
        <w:tblStyle w:val="LightShading-Accent1"/>
        <w:tblW w:type="auto" w:w="0"/>
        <w:jc w:val="center"/>
        <w:tblLayout w:type="fixed"/>
        <w:tblLook w:firstColumn="1" w:firstRow="1" w:lastColumn="0" w:lastRow="0" w:noHBand="0" w:noVBand="1" w:val="04A0"/>
      </w:tblPr>
      <w:tblGrid>
        <w:gridCol w:w="3389"/>
        <w:gridCol w:w="3389"/>
        <w:gridCol w:w="3389"/>
      </w:tblGrid>
      <w:tr>
        <w:tc>
          <w:tcPr>
            <w:tcW w:type="dxa" w:w="2045"/>
            <w:shd w:fill="173754"/>
          </w:tcPr>
          <w:p>
            <w:r>
              <w:rPr>
                <w:b/>
                <w:color w:val="FFFFFF"/>
                <w:sz w:val="15"/>
              </w:rPr>
              <w:t>ID / rule</w:t>
            </w:r>
          </w:p>
        </w:tc>
        <w:tc>
          <w:tcPr>
            <w:tcW w:type="dxa" w:w="3816"/>
            <w:shd w:fill="173754"/>
          </w:tcPr>
          <w:p>
            <w:r>
              <w:rPr>
                <w:b/>
                <w:color w:val="FFFFFF"/>
                <w:sz w:val="15"/>
              </w:rPr>
              <w:t>Violation example</w:t>
            </w:r>
          </w:p>
        </w:tc>
        <w:tc>
          <w:tcPr>
            <w:tcW w:type="dxa" w:w="3960"/>
            <w:shd w:fill="173754"/>
          </w:tcPr>
          <w:p>
            <w:r>
              <w:rPr>
                <w:b/>
                <w:color w:val="FFFFFF"/>
                <w:sz w:val="15"/>
              </w:rPr>
              <w:t>Independent automated oracle</w:t>
            </w:r>
          </w:p>
        </w:tc>
      </w:tr>
      <w:tr>
        <w:tc>
          <w:tcPr>
            <w:tcW w:type="dxa" w:w="2045"/>
            <w:vAlign w:val="center"/>
          </w:tcPr>
          <w:p>
            <w:pPr>
              <w:spacing w:after="20" w:before="20"/>
            </w:pPr>
            <w:r>
              <w:rPr>
                <w:sz w:val="15"/>
              </w:rPr>
              <w:t>I1  Confirmation and owner</w:t>
            </w:r>
          </w:p>
        </w:tc>
        <w:tc>
          <w:tcPr>
            <w:tcW w:type="dxa" w:w="3816"/>
            <w:vAlign w:val="center"/>
          </w:tcPr>
          <w:p>
            <w:pPr>
              <w:spacing w:after="20" w:before="20"/>
            </w:pPr>
            <w:r>
              <w:rPr>
                <w:sz w:val="15"/>
              </w:rPr>
              <w:t>A non-owner confirms a detected candidate.</w:t>
            </w:r>
          </w:p>
        </w:tc>
        <w:tc>
          <w:tcPr>
            <w:tcW w:type="dxa" w:w="3960"/>
            <w:vAlign w:val="center"/>
          </w:tcPr>
          <w:p>
            <w:pPr>
              <w:spacing w:after="20" w:before="20"/>
            </w:pPr>
            <w:r>
              <w:rPr>
                <w:sz w:val="15"/>
              </w:rPr>
              <w:t>ACTOR_NOT_OWNER; deadline and history remain unchanged.</w:t>
            </w:r>
          </w:p>
        </w:tc>
      </w:tr>
      <w:tr>
        <w:tc>
          <w:tcPr>
            <w:tcW w:type="dxa" w:w="2045"/>
            <w:vAlign w:val="center"/>
            <w:shd w:fill="F0F5F8"/>
          </w:tcPr>
          <w:p>
            <w:pPr>
              <w:spacing w:after="20" w:before="20"/>
            </w:pPr>
            <w:r>
              <w:rPr>
                <w:sz w:val="15"/>
              </w:rPr>
              <w:t>I2  Provenance and trust</w:t>
            </w:r>
          </w:p>
        </w:tc>
        <w:tc>
          <w:tcPr>
            <w:tcW w:type="dxa" w:w="3816"/>
            <w:vAlign w:val="center"/>
            <w:shd w:fill="F0F5F8"/>
          </w:tcPr>
          <w:p>
            <w:pPr>
              <w:spacing w:after="20" w:before="20"/>
            </w:pPr>
            <w:r>
              <w:rPr>
                <w:sz w:val="15"/>
              </w:rPr>
              <w:t>A chat message or missing source is treated as official.</w:t>
            </w:r>
          </w:p>
        </w:tc>
        <w:tc>
          <w:tcPr>
            <w:tcW w:type="dxa" w:w="3960"/>
            <w:vAlign w:val="center"/>
            <w:shd w:fill="F0F5F8"/>
          </w:tcPr>
          <w:p>
            <w:pPr>
              <w:spacing w:after="20" w:before="20"/>
            </w:pPr>
            <w:r>
              <w:rPr>
                <w:sz w:val="15"/>
              </w:rPr>
              <w:t>SOURCE_NOT_AUTHORIZED / INVALID_LINK; no update.</w:t>
            </w:r>
          </w:p>
        </w:tc>
      </w:tr>
      <w:tr>
        <w:tc>
          <w:tcPr>
            <w:tcW w:type="dxa" w:w="2045"/>
            <w:vAlign w:val="center"/>
          </w:tcPr>
          <w:p>
            <w:pPr>
              <w:spacing w:after="20" w:before="20"/>
            </w:pPr>
            <w:r>
              <w:rPr>
                <w:sz w:val="15"/>
              </w:rPr>
              <w:t>I3  Version and history</w:t>
            </w:r>
          </w:p>
        </w:tc>
        <w:tc>
          <w:tcPr>
            <w:tcW w:type="dxa" w:w="3816"/>
            <w:vAlign w:val="center"/>
          </w:tcPr>
          <w:p>
            <w:pPr>
              <w:spacing w:after="20" w:before="20"/>
            </w:pPr>
            <w:r>
              <w:rPr>
                <w:sz w:val="15"/>
              </w:rPr>
              <w:t>A stale candidate is applied or one update appends two revisions.</w:t>
            </w:r>
          </w:p>
        </w:tc>
        <w:tc>
          <w:tcPr>
            <w:tcW w:type="dxa" w:w="3960"/>
            <w:vAlign w:val="center"/>
          </w:tcPr>
          <w:p>
            <w:pPr>
              <w:spacing w:after="20" w:before="20"/>
            </w:pPr>
            <w:r>
              <w:rPr>
                <w:sz w:val="15"/>
              </w:rPr>
              <w:t>VERSION_CONFLICT, version +1, one history entry, idempotent replay.</w:t>
            </w:r>
          </w:p>
        </w:tc>
      </w:tr>
      <w:tr>
        <w:tc>
          <w:tcPr>
            <w:tcW w:type="dxa" w:w="2045"/>
            <w:vAlign w:val="center"/>
            <w:shd w:fill="F0F5F8"/>
          </w:tcPr>
          <w:p>
            <w:pPr>
              <w:spacing w:after="20" w:before="20"/>
            </w:pPr>
            <w:r>
              <w:rPr>
                <w:sz w:val="15"/>
              </w:rPr>
              <w:t>I4  No silent mutation</w:t>
            </w:r>
          </w:p>
        </w:tc>
        <w:tc>
          <w:tcPr>
            <w:tcW w:type="dxa" w:w="3816"/>
            <w:vAlign w:val="center"/>
            <w:shd w:fill="F0F5F8"/>
          </w:tcPr>
          <w:p>
            <w:pPr>
              <w:spacing w:after="20" w:before="20"/>
            </w:pPr>
            <w:r>
              <w:rPr>
                <w:sz w:val="15"/>
              </w:rPr>
              <w:t>A rejected candidate nevertheless changes the calendar deadline.</w:t>
            </w:r>
          </w:p>
        </w:tc>
        <w:tc>
          <w:tcPr>
            <w:tcW w:type="dxa" w:w="3960"/>
            <w:vAlign w:val="center"/>
            <w:shd w:fill="F0F5F8"/>
          </w:tcPr>
          <w:p>
            <w:pPr>
              <w:spacing w:after="20" w:before="20"/>
            </w:pPr>
            <w:r>
              <w:rPr>
                <w:sz w:val="15"/>
              </w:rPr>
              <w:t>Before/after deadline, version, and history equality.</w:t>
            </w:r>
          </w:p>
        </w:tc>
      </w:tr>
      <w:tr>
        <w:tc>
          <w:tcPr>
            <w:tcW w:type="dxa" w:w="2045"/>
            <w:vAlign w:val="center"/>
          </w:tcPr>
          <w:p>
            <w:pPr>
              <w:spacing w:after="20" w:before="20"/>
            </w:pPr>
            <w:r>
              <w:rPr>
                <w:sz w:val="15"/>
              </w:rPr>
              <w:t>I5  Temporal validity</w:t>
            </w:r>
          </w:p>
        </w:tc>
        <w:tc>
          <w:tcPr>
            <w:tcW w:type="dxa" w:w="3816"/>
            <w:vAlign w:val="center"/>
          </w:tcPr>
          <w:p>
            <w:pPr>
              <w:spacing w:after="20" w:before="20"/>
            </w:pPr>
            <w:r>
              <w:rPr>
                <w:sz w:val="15"/>
              </w:rPr>
              <w:t>A naive local date or mismatched time-zone offset is accepted.</w:t>
            </w:r>
          </w:p>
        </w:tc>
        <w:tc>
          <w:tcPr>
            <w:tcW w:type="dxa" w:w="3960"/>
            <w:vAlign w:val="center"/>
          </w:tcPr>
          <w:p>
            <w:pPr>
              <w:spacing w:after="20" w:before="20"/>
            </w:pPr>
            <w:r>
              <w:rPr>
                <w:sz w:val="15"/>
              </w:rPr>
              <w:t>NAIVE_DATETIME or OFFSET_MISMATCH error.</w:t>
            </w:r>
          </w:p>
        </w:tc>
      </w:tr>
    </w:tbl>
    <w:p>
      <w:pPr>
        <w:spacing w:after="0"/>
      </w:pPr>
    </w:p>
    <w:p>
      <w:r>
        <w:t>Each invariant is mapped to exact tests in the Invariants worksheet. The tests do not call methods that simply return a claimed compliance flag; they inspect state and errors independently.</w:t>
      </w:r>
    </w:p>
    <w:p>
      <w:pPr>
        <w:pStyle w:val="Heading1"/>
      </w:pPr>
      <w:r>
        <w:t>6. Material rule: decision table and assertion</w:t>
      </w:r>
    </w:p>
    <w:p>
      <w:r>
        <w:t>Material rule M1: an existing tracked deadline is updated only after the owning student confirms a pending candidate whose linked source has externally verified official provenance and whose base version matches the current assignment. Rejection never mutates the deadline.</w:t>
      </w:r>
    </w:p>
    <w:tbl>
      <w:tblPr>
        <w:tblStyle w:val="LightShading-Accent1"/>
        <w:tblW w:type="auto" w:w="0"/>
        <w:jc w:val="center"/>
        <w:tblLayout w:type="fixed"/>
        <w:tblLook w:firstColumn="1" w:firstRow="1" w:lastColumn="0" w:lastRow="0" w:noHBand="0" w:noVBand="1" w:val="04A0"/>
      </w:tblPr>
      <w:tblGrid>
        <w:gridCol w:w="3389"/>
        <w:gridCol w:w="3389"/>
        <w:gridCol w:w="3389"/>
      </w:tblGrid>
      <w:tr>
        <w:tc>
          <w:tcPr>
            <w:tcW w:type="dxa" w:w="1037"/>
            <w:shd w:fill="173754"/>
          </w:tcPr>
          <w:p>
            <w:r>
              <w:rPr>
                <w:b/>
                <w:color w:val="FFFFFF"/>
                <w:sz w:val="15"/>
              </w:rPr>
              <w:t>Rule</w:t>
            </w:r>
          </w:p>
        </w:tc>
        <w:tc>
          <w:tcPr>
            <w:tcW w:type="dxa" w:w="4248"/>
            <w:shd w:fill="173754"/>
          </w:tcPr>
          <w:p>
            <w:r>
              <w:rPr>
                <w:b/>
                <w:color w:val="FFFFFF"/>
                <w:sz w:val="15"/>
              </w:rPr>
              <w:t>Decision / precondition</w:t>
            </w:r>
          </w:p>
        </w:tc>
        <w:tc>
          <w:tcPr>
            <w:tcW w:type="dxa" w:w="4536"/>
            <w:shd w:fill="173754"/>
          </w:tcPr>
          <w:p>
            <w:r>
              <w:rPr>
                <w:b/>
                <w:color w:val="FFFFFF"/>
                <w:sz w:val="15"/>
              </w:rPr>
              <w:t>Expected action</w:t>
            </w:r>
          </w:p>
        </w:tc>
      </w:tr>
      <w:tr>
        <w:tc>
          <w:tcPr>
            <w:tcW w:type="dxa" w:w="1037"/>
            <w:vAlign w:val="center"/>
          </w:tcPr>
          <w:p>
            <w:pPr>
              <w:spacing w:after="20" w:before="20"/>
            </w:pPr>
            <w:r>
              <w:rPr>
                <w:sz w:val="15"/>
              </w:rPr>
              <w:t>R1</w:t>
            </w:r>
          </w:p>
        </w:tc>
        <w:tc>
          <w:tcPr>
            <w:tcW w:type="dxa" w:w="4248"/>
            <w:vAlign w:val="center"/>
          </w:tcPr>
          <w:p>
            <w:pPr>
              <w:spacing w:after="20" w:before="20"/>
            </w:pPr>
            <w:r>
              <w:rPr>
                <w:sz w:val="15"/>
              </w:rPr>
              <w:t>Confirm; owner; PENDING; verified official; current base version</w:t>
            </w:r>
          </w:p>
        </w:tc>
        <w:tc>
          <w:tcPr>
            <w:tcW w:type="dxa" w:w="4536"/>
            <w:vAlign w:val="center"/>
          </w:tcPr>
          <w:p>
            <w:pPr>
              <w:spacing w:after="20" w:before="20"/>
            </w:pPr>
            <w:r>
              <w:rPr>
                <w:sz w:val="15"/>
              </w:rPr>
              <w:t>Apply exactly once; increment and record history</w:t>
            </w:r>
          </w:p>
        </w:tc>
      </w:tr>
      <w:tr>
        <w:tc>
          <w:tcPr>
            <w:tcW w:type="dxa" w:w="1037"/>
            <w:vAlign w:val="center"/>
            <w:shd w:fill="F0F5F8"/>
          </w:tcPr>
          <w:p>
            <w:pPr>
              <w:spacing w:after="20" w:before="20"/>
            </w:pPr>
            <w:r>
              <w:rPr>
                <w:sz w:val="15"/>
              </w:rPr>
              <w:t>R2</w:t>
            </w:r>
          </w:p>
        </w:tc>
        <w:tc>
          <w:tcPr>
            <w:tcW w:type="dxa" w:w="4248"/>
            <w:vAlign w:val="center"/>
            <w:shd w:fill="F0F5F8"/>
          </w:tcPr>
          <w:p>
            <w:pPr>
              <w:spacing w:after="20" w:before="20"/>
            </w:pPr>
            <w:r>
              <w:rPr>
                <w:sz w:val="15"/>
              </w:rPr>
              <w:t>Reject; owner; PENDING</w:t>
            </w:r>
          </w:p>
        </w:tc>
        <w:tc>
          <w:tcPr>
            <w:tcW w:type="dxa" w:w="4536"/>
            <w:vAlign w:val="center"/>
            <w:shd w:fill="F0F5F8"/>
          </w:tcPr>
          <w:p>
            <w:pPr>
              <w:spacing w:after="20" w:before="20"/>
            </w:pPr>
            <w:r>
              <w:rPr>
                <w:sz w:val="15"/>
              </w:rPr>
              <w:t>Mark REJECTED; keep current record</w:t>
            </w:r>
          </w:p>
        </w:tc>
      </w:tr>
      <w:tr>
        <w:tc>
          <w:tcPr>
            <w:tcW w:type="dxa" w:w="1037"/>
            <w:vAlign w:val="center"/>
          </w:tcPr>
          <w:p>
            <w:pPr>
              <w:spacing w:after="20" w:before="20"/>
            </w:pPr>
            <w:r>
              <w:rPr>
                <w:sz w:val="15"/>
              </w:rPr>
              <w:t>R3</w:t>
            </w:r>
          </w:p>
        </w:tc>
        <w:tc>
          <w:tcPr>
            <w:tcW w:type="dxa" w:w="4248"/>
            <w:vAlign w:val="center"/>
          </w:tcPr>
          <w:p>
            <w:pPr>
              <w:spacing w:after="20" w:before="20"/>
            </w:pPr>
            <w:r>
              <w:rPr>
                <w:sz w:val="15"/>
              </w:rPr>
              <w:t>Confirm by non-owner</w:t>
            </w:r>
          </w:p>
        </w:tc>
        <w:tc>
          <w:tcPr>
            <w:tcW w:type="dxa" w:w="4536"/>
            <w:vAlign w:val="center"/>
          </w:tcPr>
          <w:p>
            <w:pPr>
              <w:spacing w:after="20" w:before="20"/>
            </w:pPr>
            <w:r>
              <w:rPr>
                <w:sz w:val="15"/>
              </w:rPr>
              <w:t>ACTOR_NOT_OWNER; no mutation</w:t>
            </w:r>
          </w:p>
        </w:tc>
      </w:tr>
      <w:tr>
        <w:tc>
          <w:tcPr>
            <w:tcW w:type="dxa" w:w="1037"/>
            <w:vAlign w:val="center"/>
            <w:shd w:fill="F0F5F8"/>
          </w:tcPr>
          <w:p>
            <w:pPr>
              <w:spacing w:after="20" w:before="20"/>
            </w:pPr>
            <w:r>
              <w:rPr>
                <w:sz w:val="15"/>
              </w:rPr>
              <w:t>R4</w:t>
            </w:r>
          </w:p>
        </w:tc>
        <w:tc>
          <w:tcPr>
            <w:tcW w:type="dxa" w:w="4248"/>
            <w:vAlign w:val="center"/>
            <w:shd w:fill="F0F5F8"/>
          </w:tcPr>
          <w:p>
            <w:pPr>
              <w:spacing w:after="20" w:before="20"/>
            </w:pPr>
            <w:r>
              <w:rPr>
                <w:sz w:val="15"/>
              </w:rPr>
              <w:t>Confirm with untrusted/unverified source</w:t>
            </w:r>
          </w:p>
        </w:tc>
        <w:tc>
          <w:tcPr>
            <w:tcW w:type="dxa" w:w="4536"/>
            <w:vAlign w:val="center"/>
            <w:shd w:fill="F0F5F8"/>
          </w:tcPr>
          <w:p>
            <w:pPr>
              <w:spacing w:after="20" w:before="20"/>
            </w:pPr>
            <w:r>
              <w:rPr>
                <w:sz w:val="15"/>
              </w:rPr>
              <w:t>SOURCE_NOT_AUTHORIZED; no mutation</w:t>
            </w:r>
          </w:p>
        </w:tc>
      </w:tr>
      <w:tr>
        <w:tc>
          <w:tcPr>
            <w:tcW w:type="dxa" w:w="1037"/>
            <w:vAlign w:val="center"/>
          </w:tcPr>
          <w:p>
            <w:pPr>
              <w:spacing w:after="20" w:before="20"/>
            </w:pPr>
            <w:r>
              <w:rPr>
                <w:sz w:val="15"/>
              </w:rPr>
              <w:t>R5</w:t>
            </w:r>
          </w:p>
        </w:tc>
        <w:tc>
          <w:tcPr>
            <w:tcW w:type="dxa" w:w="4248"/>
            <w:vAlign w:val="center"/>
          </w:tcPr>
          <w:p>
            <w:pPr>
              <w:spacing w:after="20" w:before="20"/>
            </w:pPr>
            <w:r>
              <w:rPr>
                <w:sz w:val="15"/>
              </w:rPr>
              <w:t>Confirm with stale base version</w:t>
            </w:r>
          </w:p>
        </w:tc>
        <w:tc>
          <w:tcPr>
            <w:tcW w:type="dxa" w:w="4536"/>
            <w:vAlign w:val="center"/>
          </w:tcPr>
          <w:p>
            <w:pPr>
              <w:spacing w:after="20" w:before="20"/>
            </w:pPr>
            <w:r>
              <w:rPr>
                <w:sz w:val="15"/>
              </w:rPr>
              <w:t>VERSION_CONFLICT; no mutation</w:t>
            </w:r>
          </w:p>
        </w:tc>
      </w:tr>
      <w:tr>
        <w:tc>
          <w:tcPr>
            <w:tcW w:type="dxa" w:w="1037"/>
            <w:vAlign w:val="center"/>
            <w:shd w:fill="F0F5F8"/>
          </w:tcPr>
          <w:p>
            <w:pPr>
              <w:spacing w:after="20" w:before="20"/>
            </w:pPr>
            <w:r>
              <w:rPr>
                <w:sz w:val="15"/>
              </w:rPr>
              <w:t>R6–R9</w:t>
            </w:r>
          </w:p>
        </w:tc>
        <w:tc>
          <w:tcPr>
            <w:tcW w:type="dxa" w:w="4248"/>
            <w:vAlign w:val="center"/>
            <w:shd w:fill="F0F5F8"/>
          </w:tcPr>
          <w:p>
            <w:pPr>
              <w:spacing w:after="20" w:before="20"/>
            </w:pPr>
            <w:r>
              <w:rPr>
                <w:sz w:val="15"/>
              </w:rPr>
              <w:t>Illegal state, idempotent retry, missing links, same value</w:t>
            </w:r>
          </w:p>
        </w:tc>
        <w:tc>
          <w:tcPr>
            <w:tcW w:type="dxa" w:w="4536"/>
            <w:vAlign w:val="center"/>
            <w:shd w:fill="F0F5F8"/>
          </w:tcPr>
          <w:p>
            <w:pPr>
              <w:spacing w:after="20" w:before="20"/>
            </w:pPr>
            <w:r>
              <w:rPr>
                <w:sz w:val="15"/>
              </w:rPr>
              <w:t>Block, replay safely or mark INVALID as specified</w:t>
            </w:r>
          </w:p>
        </w:tc>
      </w:tr>
    </w:tbl>
    <w:p>
      <w:pPr>
        <w:spacing w:after="0"/>
      </w:pPr>
    </w:p>
    <w:p>
      <w:r>
        <w:t>Formal precondition for application: candidate.status = PENDING_REVIEW ∧ reviewer = assignment.student_id ∧ source.authority_verified ∧ source.kind ∈ {OFFICIAL_LMS, INSTRUCTOR_EMAIL} ∧ candidate.base_version = assignment.version ∧ source.assignment_id = assignment.id ∧ proposed UTC instant ≠ current UTC instant. Postcondition: assignment.version′ = version + 1, one HistoryEntry is appended, candidate.status′ = APPLIED.</w:t>
      </w:r>
    </w:p>
    <w:p>
      <w:pPr>
        <w:pStyle w:val="Heading1"/>
      </w:pPr>
      <w:r>
        <w:t>7. Data governance: source, authority, quality, retention and privacy</w:t>
      </w:r>
    </w:p>
    <w:tbl>
      <w:tblPr>
        <w:tblStyle w:val="LightShading-Accent1"/>
        <w:tblW w:type="auto" w:w="0"/>
        <w:jc w:val="center"/>
        <w:tblLayout w:type="fixed"/>
        <w:tblLook w:firstColumn="1" w:firstRow="1" w:lastColumn="0" w:lastRow="0" w:noHBand="0" w:noVBand="1" w:val="04A0"/>
      </w:tblPr>
      <w:tblGrid>
        <w:gridCol w:w="5083"/>
        <w:gridCol w:w="5083"/>
      </w:tblGrid>
      <w:tr>
        <w:tc>
          <w:tcPr>
            <w:tcW w:type="dxa" w:w="1944"/>
            <w:shd w:fill="173754"/>
          </w:tcPr>
          <w:p>
            <w:r>
              <w:rPr>
                <w:b/>
                <w:color w:val="FFFFFF"/>
                <w:sz w:val="16"/>
              </w:rPr>
              <w:t>Boundary</w:t>
            </w:r>
          </w:p>
        </w:tc>
        <w:tc>
          <w:tcPr>
            <w:tcW w:type="dxa" w:w="7877"/>
            <w:shd w:fill="173754"/>
          </w:tcPr>
          <w:p>
            <w:r>
              <w:rPr>
                <w:b/>
                <w:color w:val="FFFFFF"/>
                <w:sz w:val="16"/>
              </w:rPr>
              <w:t>Explicit specification / limitation</w:t>
            </w:r>
          </w:p>
        </w:tc>
      </w:tr>
      <w:tr>
        <w:tc>
          <w:tcPr>
            <w:tcW w:type="dxa" w:w="1944"/>
            <w:vAlign w:val="center"/>
          </w:tcPr>
          <w:p>
            <w:pPr>
              <w:spacing w:after="20" w:before="20"/>
            </w:pPr>
            <w:r>
              <w:rPr>
                <w:sz w:val="16"/>
              </w:rPr>
              <w:t>Source / authority</w:t>
            </w:r>
          </w:p>
        </w:tc>
        <w:tc>
          <w:tcPr>
            <w:tcW w:type="dxa" w:w="7877"/>
            <w:vAlign w:val="center"/>
          </w:tcPr>
          <w:p>
            <w:pPr>
              <w:spacing w:after="20" w:before="20"/>
            </w:pPr>
            <w:r>
              <w:rPr>
                <w:sz w:val="16"/>
              </w:rPr>
              <w:t>Only student-supplied synthetic fixtures are used. Real LMS/email notices remain institutionally authoritative outside the tracker; the test fixture authority_verified flag is an assumption, not authenticated evidence.</w:t>
            </w:r>
          </w:p>
        </w:tc>
      </w:tr>
      <w:tr>
        <w:tc>
          <w:tcPr>
            <w:tcW w:type="dxa" w:w="1944"/>
            <w:vAlign w:val="center"/>
            <w:shd w:fill="F0F5F8"/>
          </w:tcPr>
          <w:p>
            <w:pPr>
              <w:spacing w:after="20" w:before="20"/>
            </w:pPr>
            <w:r>
              <w:rPr>
                <w:sz w:val="16"/>
              </w:rPr>
              <w:t>Quality</w:t>
            </w:r>
          </w:p>
        </w:tc>
        <w:tc>
          <w:tcPr>
            <w:tcW w:type="dxa" w:w="7877"/>
            <w:vAlign w:val="center"/>
            <w:shd w:fill="F0F5F8"/>
          </w:tcPr>
          <w:p>
            <w:pPr>
              <w:spacing w:after="20" w:before="20"/>
            </w:pPr>
            <w:r>
              <w:rPr>
                <w:sz w:val="16"/>
              </w:rPr>
              <w:t>Require required identifiers, existing links, SHA-256 integrity format, offset-aware timestamp, matching IANA offset, distinct proposed value and optimistic version check.</w:t>
            </w:r>
          </w:p>
        </w:tc>
      </w:tr>
      <w:tr>
        <w:tc>
          <w:tcPr>
            <w:tcW w:type="dxa" w:w="1944"/>
            <w:vAlign w:val="center"/>
          </w:tcPr>
          <w:p>
            <w:pPr>
              <w:spacing w:after="20" w:before="20"/>
            </w:pPr>
            <w:r>
              <w:rPr>
                <w:sz w:val="16"/>
              </w:rPr>
              <w:t>Privacy / access</w:t>
            </w:r>
          </w:p>
        </w:tc>
        <w:tc>
          <w:tcPr>
            <w:tcW w:type="dxa" w:w="7877"/>
            <w:vAlign w:val="center"/>
          </w:tcPr>
          <w:p>
            <w:pPr>
              <w:spacing w:after="20" w:before="20"/>
            </w:pPr>
            <w:r>
              <w:rPr>
                <w:sz w:val="16"/>
              </w:rPr>
              <w:t>Student is the logical owner; no raw PDFs, emails, chat messages or identifying student information are persisted in the reference model. Public repositories contain only synthetic identifiers.</w:t>
            </w:r>
          </w:p>
        </w:tc>
      </w:tr>
      <w:tr>
        <w:tc>
          <w:tcPr>
            <w:tcW w:type="dxa" w:w="1944"/>
            <w:vAlign w:val="center"/>
            <w:shd w:fill="F0F5F8"/>
          </w:tcPr>
          <w:p>
            <w:pPr>
              <w:spacing w:after="20" w:before="20"/>
            </w:pPr>
            <w:r>
              <w:rPr>
                <w:sz w:val="16"/>
              </w:rPr>
              <w:t>Retention proposal</w:t>
            </w:r>
          </w:p>
        </w:tc>
        <w:tc>
          <w:tcPr>
            <w:tcW w:type="dxa" w:w="7877"/>
            <w:vAlign w:val="center"/>
            <w:shd w:fill="F0F5F8"/>
          </w:tcPr>
          <w:p>
            <w:pPr>
              <w:spacing w:after="20" w:before="20"/>
            </w:pPr>
            <w:r>
              <w:rPr>
                <w:sz w:val="16"/>
              </w:rPr>
              <w:t>If deployed: source/candidate metadata until course end +30 days; revision history until course end +90 days; erase personal workspace on authorized deletion. These are design defaults subject to institutional/legal approval.</w:t>
            </w:r>
          </w:p>
        </w:tc>
      </w:tr>
      <w:tr>
        <w:tc>
          <w:tcPr>
            <w:tcW w:type="dxa" w:w="1944"/>
            <w:vAlign w:val="center"/>
          </w:tcPr>
          <w:p>
            <w:pPr>
              <w:spacing w:after="20" w:before="20"/>
            </w:pPr>
            <w:r>
              <w:rPr>
                <w:sz w:val="16"/>
              </w:rPr>
              <w:t>Deletion boundary</w:t>
            </w:r>
          </w:p>
        </w:tc>
        <w:tc>
          <w:tcPr>
            <w:tcW w:type="dxa" w:w="7877"/>
            <w:vAlign w:val="center"/>
          </w:tcPr>
          <w:p>
            <w:pPr>
              <w:spacing w:after="20" w:before="20"/>
            </w:pPr>
            <w:r>
              <w:rPr>
                <w:sz w:val="16"/>
              </w:rPr>
              <w:t>The reference store is in-memory and has no deployed deletion workflow or backups. Production removal must propagate through indexes, logs and backups; deletion approval requires privacy review.</w:t>
            </w:r>
          </w:p>
        </w:tc>
      </w:tr>
    </w:tbl>
    <w:p>
      <w:pPr>
        <w:spacing w:after="0"/>
      </w:pPr>
    </w:p>
    <w:p>
      <w:r>
        <w:br w:type="page"/>
      </w:r>
    </w:p>
    <w:p>
      <w:pPr>
        <w:pStyle w:val="Heading1"/>
      </w:pPr>
      <w:r>
        <w:t>8. Model walkthrough and verification record</w:t>
      </w:r>
    </w:p>
    <w:p>
      <w:r>
        <w:t>Reproduction environment: Python 3.11 or later, standard library only, fixed synthetic fixture dataset a2-synthetic-fixtures-v1, no randomness and no network calls. Run from repository root: python -m unittest discover -s tests -v. Actual output is preserved in evidence/test-results.txt.</w:t>
      </w:r>
    </w:p>
    <w:tbl>
      <w:tblPr>
        <w:tblStyle w:val="LightShading-Accent1"/>
        <w:tblW w:type="auto" w:w="0"/>
        <w:jc w:val="center"/>
        <w:tblLayout w:type="fixed"/>
        <w:tblLook w:firstColumn="1" w:firstRow="1" w:lastColumn="0" w:lastRow="0" w:noHBand="0" w:noVBand="1" w:val="04A0"/>
      </w:tblPr>
      <w:tblGrid>
        <w:gridCol w:w="3389"/>
        <w:gridCol w:w="3389"/>
        <w:gridCol w:w="3389"/>
      </w:tblGrid>
      <w:tr>
        <w:tc>
          <w:tcPr>
            <w:tcW w:type="dxa" w:w="1685"/>
            <w:shd w:fill="173754"/>
          </w:tcPr>
          <w:p>
            <w:r>
              <w:rPr>
                <w:b/>
                <w:color w:val="FFFFFF"/>
                <w:sz w:val="15"/>
              </w:rPr>
              <w:t>Path</w:t>
            </w:r>
          </w:p>
        </w:tc>
        <w:tc>
          <w:tcPr>
            <w:tcW w:type="dxa" w:w="4363"/>
            <w:shd w:fill="173754"/>
          </w:tcPr>
          <w:p>
            <w:r>
              <w:rPr>
                <w:b/>
                <w:color w:val="FFFFFF"/>
                <w:sz w:val="15"/>
              </w:rPr>
              <w:t>Trigger</w:t>
            </w:r>
          </w:p>
        </w:tc>
        <w:tc>
          <w:tcPr>
            <w:tcW w:type="dxa" w:w="3773"/>
            <w:shd w:fill="173754"/>
          </w:tcPr>
          <w:p>
            <w:r>
              <w:rPr>
                <w:b/>
                <w:color w:val="FFFFFF"/>
                <w:sz w:val="15"/>
              </w:rPr>
              <w:t>Observed outcome</w:t>
            </w:r>
          </w:p>
        </w:tc>
      </w:tr>
      <w:tr>
        <w:tc>
          <w:tcPr>
            <w:tcW w:type="dxa" w:w="1685"/>
            <w:vAlign w:val="center"/>
          </w:tcPr>
          <w:p>
            <w:pPr>
              <w:spacing w:after="20" w:before="20"/>
            </w:pPr>
            <w:r>
              <w:rPr>
                <w:sz w:val="15"/>
              </w:rPr>
              <w:t>W1  Normal</w:t>
            </w:r>
          </w:p>
        </w:tc>
        <w:tc>
          <w:tcPr>
            <w:tcW w:type="dxa" w:w="4363"/>
            <w:vAlign w:val="center"/>
          </w:tcPr>
          <w:p>
            <w:pPr>
              <w:spacing w:after="20" w:before="20"/>
            </w:pPr>
            <w:r>
              <w:rPr>
                <w:sz w:val="15"/>
              </w:rPr>
              <w:t>Pending candidate; owner confirms official verified notice</w:t>
            </w:r>
          </w:p>
        </w:tc>
        <w:tc>
          <w:tcPr>
            <w:tcW w:type="dxa" w:w="3773"/>
            <w:vAlign w:val="center"/>
          </w:tcPr>
          <w:p>
            <w:pPr>
              <w:spacing w:after="20" w:before="20"/>
            </w:pPr>
            <w:r>
              <w:rPr>
                <w:sz w:val="15"/>
              </w:rPr>
              <w:t>State APPLIED, version 2, one old→new history entry.</w:t>
            </w:r>
          </w:p>
        </w:tc>
      </w:tr>
      <w:tr>
        <w:tc>
          <w:tcPr>
            <w:tcW w:type="dxa" w:w="1685"/>
            <w:vAlign w:val="center"/>
            <w:shd w:fill="F0F5F8"/>
          </w:tcPr>
          <w:p>
            <w:pPr>
              <w:spacing w:after="20" w:before="20"/>
            </w:pPr>
            <w:r>
              <w:rPr>
                <w:sz w:val="15"/>
              </w:rPr>
              <w:t>W2  Boundary</w:t>
            </w:r>
          </w:p>
        </w:tc>
        <w:tc>
          <w:tcPr>
            <w:tcW w:type="dxa" w:w="4363"/>
            <w:vAlign w:val="center"/>
            <w:shd w:fill="F0F5F8"/>
          </w:tcPr>
          <w:p>
            <w:pPr>
              <w:spacing w:after="20" w:before="20"/>
            </w:pPr>
            <w:r>
              <w:rPr>
                <w:sz w:val="15"/>
              </w:rPr>
              <w:t>Two proposals from version 1; second applied after first</w:t>
            </w:r>
          </w:p>
        </w:tc>
        <w:tc>
          <w:tcPr>
            <w:tcW w:type="dxa" w:w="3773"/>
            <w:vAlign w:val="center"/>
            <w:shd w:fill="F0F5F8"/>
          </w:tcPr>
          <w:p>
            <w:pPr>
              <w:spacing w:after="20" w:before="20"/>
            </w:pPr>
            <w:r>
              <w:rPr>
                <w:sz w:val="15"/>
              </w:rPr>
              <w:t>VERSION_CONFLICT; first revision remains current.</w:t>
            </w:r>
          </w:p>
        </w:tc>
      </w:tr>
      <w:tr>
        <w:tc>
          <w:tcPr>
            <w:tcW w:type="dxa" w:w="1685"/>
            <w:vAlign w:val="center"/>
          </w:tcPr>
          <w:p>
            <w:pPr>
              <w:spacing w:after="20" w:before="20"/>
            </w:pPr>
            <w:r>
              <w:rPr>
                <w:sz w:val="15"/>
              </w:rPr>
              <w:t>W3  Abuse</w:t>
            </w:r>
          </w:p>
        </w:tc>
        <w:tc>
          <w:tcPr>
            <w:tcW w:type="dxa" w:w="4363"/>
            <w:vAlign w:val="center"/>
          </w:tcPr>
          <w:p>
            <w:pPr>
              <w:spacing w:after="20" w:before="20"/>
            </w:pPr>
            <w:r>
              <w:rPr>
                <w:sz w:val="15"/>
              </w:rPr>
              <w:t>Unverified chat source requests confirmation</w:t>
            </w:r>
          </w:p>
        </w:tc>
        <w:tc>
          <w:tcPr>
            <w:tcW w:type="dxa" w:w="3773"/>
            <w:vAlign w:val="center"/>
          </w:tcPr>
          <w:p>
            <w:pPr>
              <w:spacing w:after="20" w:before="20"/>
            </w:pPr>
            <w:r>
              <w:rPr>
                <w:sz w:val="15"/>
              </w:rPr>
              <w:t>SOURCE_NOT_AUTHORIZED; no update.</w:t>
            </w:r>
          </w:p>
        </w:tc>
      </w:tr>
      <w:tr>
        <w:tc>
          <w:tcPr>
            <w:tcW w:type="dxa" w:w="1685"/>
            <w:vAlign w:val="center"/>
            <w:shd w:fill="F0F5F8"/>
          </w:tcPr>
          <w:p>
            <w:pPr>
              <w:spacing w:after="20" w:before="20"/>
            </w:pPr>
            <w:r>
              <w:rPr>
                <w:sz w:val="15"/>
              </w:rPr>
              <w:t>W4  Rejection</w:t>
            </w:r>
          </w:p>
        </w:tc>
        <w:tc>
          <w:tcPr>
            <w:tcW w:type="dxa" w:w="4363"/>
            <w:vAlign w:val="center"/>
            <w:shd w:fill="F0F5F8"/>
          </w:tcPr>
          <w:p>
            <w:pPr>
              <w:spacing w:after="20" w:before="20"/>
            </w:pPr>
            <w:r>
              <w:rPr>
                <w:sz w:val="15"/>
              </w:rPr>
              <w:t>Owner rejects a pending candidate</w:t>
            </w:r>
          </w:p>
        </w:tc>
        <w:tc>
          <w:tcPr>
            <w:tcW w:type="dxa" w:w="3773"/>
            <w:vAlign w:val="center"/>
            <w:shd w:fill="F0F5F8"/>
          </w:tcPr>
          <w:p>
            <w:pPr>
              <w:spacing w:after="20" w:before="20"/>
            </w:pPr>
            <w:r>
              <w:rPr>
                <w:sz w:val="15"/>
              </w:rPr>
              <w:t>REJECTED; current deadline and history unchanged.</w:t>
            </w:r>
          </w:p>
        </w:tc>
      </w:tr>
      <w:tr>
        <w:tc>
          <w:tcPr>
            <w:tcW w:type="dxa" w:w="1685"/>
            <w:vAlign w:val="center"/>
          </w:tcPr>
          <w:p>
            <w:pPr>
              <w:spacing w:after="20" w:before="20"/>
            </w:pPr>
            <w:r>
              <w:rPr>
                <w:sz w:val="15"/>
              </w:rPr>
              <w:t>W5  Known limitation</w:t>
            </w:r>
          </w:p>
        </w:tc>
        <w:tc>
          <w:tcPr>
            <w:tcW w:type="dxa" w:w="4363"/>
            <w:vAlign w:val="center"/>
          </w:tcPr>
          <w:p>
            <w:pPr>
              <w:spacing w:after="20" w:before="20"/>
            </w:pPr>
            <w:r>
              <w:rPr>
                <w:sz w:val="15"/>
              </w:rPr>
              <w:t>Direct mutation of public store.assignments dictionary</w:t>
            </w:r>
          </w:p>
        </w:tc>
        <w:tc>
          <w:tcPr>
            <w:tcW w:type="dxa" w:w="3773"/>
            <w:vAlign w:val="center"/>
          </w:tcPr>
          <w:p>
            <w:pPr>
              <w:spacing w:after="20" w:before="20"/>
            </w:pPr>
            <w:r>
              <w:rPr>
                <w:sz w:val="15"/>
              </w:rPr>
              <w:t>Expected failing test documents missing encapsulation.</w:t>
            </w:r>
          </w:p>
        </w:tc>
      </w:tr>
    </w:tbl>
    <w:p>
      <w:pPr>
        <w:spacing w:after="0"/>
      </w:pPr>
    </w:p>
    <w:p>
      <w:r>
        <w:t>Verified run: 18 tests executed, 17 passed, one marked expected failure. The expected failure is not an unanticipated testing error: direct programmatic mutation of an exposed in-memory dictionary bypasses domain methods. The model consequently demonstrates domain rules under its guarded API but not production authorization, persistence transactions, identity authentication, source authenticity, or guaranteed deletion.</w:t>
      </w:r>
    </w:p>
    <w:p>
      <w:pPr>
        <w:pStyle w:val="Heading2"/>
      </w:pPr>
      <w:r>
        <w:t>Traceability and reproduction checks</w:t>
      </w:r>
    </w:p>
    <w:p>
      <w:r>
        <w:t>Test evidence is retained verbatim rather than summarized as an unverified claim. Tests use the Python standard library and a frozen JSON fixture containing original, proposed and conflicting deadlines at 16:30 in Asia/Shanghai. The scenario does not access external websites or personal student records.</w:t>
      </w:r>
    </w:p>
    <w:tbl>
      <w:tblPr>
        <w:tblStyle w:val="LightShading-Accent1"/>
        <w:tblW w:type="auto" w:w="0"/>
        <w:jc w:val="center"/>
        <w:tblLayout w:type="fixed"/>
        <w:tblLook w:firstColumn="1" w:firstRow="1" w:lastColumn="0" w:lastRow="0" w:noHBand="0" w:noVBand="1" w:val="04A0"/>
      </w:tblPr>
      <w:tblGrid>
        <w:gridCol w:w="5083"/>
        <w:gridCol w:w="5083"/>
      </w:tblGrid>
      <w:tr>
        <w:tc>
          <w:tcPr>
            <w:tcW w:type="dxa" w:w="3197"/>
            <w:shd w:fill="173754"/>
          </w:tcPr>
          <w:p>
            <w:r>
              <w:rPr>
                <w:b/>
                <w:color w:val="FFFFFF"/>
                <w:sz w:val="16"/>
              </w:rPr>
              <w:t>Evidence</w:t>
            </w:r>
          </w:p>
        </w:tc>
        <w:tc>
          <w:tcPr>
            <w:tcW w:type="dxa" w:w="6624"/>
            <w:shd w:fill="173754"/>
          </w:tcPr>
          <w:p>
            <w:r>
              <w:rPr>
                <w:b/>
                <w:color w:val="FFFFFF"/>
                <w:sz w:val="16"/>
              </w:rPr>
              <w:t>Location / command</w:t>
            </w:r>
          </w:p>
        </w:tc>
      </w:tr>
      <w:tr>
        <w:tc>
          <w:tcPr>
            <w:tcW w:type="dxa" w:w="3197"/>
            <w:vAlign w:val="center"/>
          </w:tcPr>
          <w:p>
            <w:pPr>
              <w:spacing w:after="20" w:before="20"/>
            </w:pPr>
            <w:r>
              <w:rPr>
                <w:sz w:val="16"/>
              </w:rPr>
              <w:t>Frozen synthetic input</w:t>
            </w:r>
          </w:p>
        </w:tc>
        <w:tc>
          <w:tcPr>
            <w:tcW w:type="dxa" w:w="6624"/>
            <w:vAlign w:val="center"/>
          </w:tcPr>
          <w:p>
            <w:pPr>
              <w:spacing w:after="20" w:before="20"/>
            </w:pPr>
            <w:r>
              <w:rPr>
                <w:sz w:val="16"/>
              </w:rPr>
              <w:t>data/synthetic-fixtures.json; dataset_id = a2-synthetic-fixtures-v1</w:t>
            </w:r>
          </w:p>
        </w:tc>
      </w:tr>
      <w:tr>
        <w:tc>
          <w:tcPr>
            <w:tcW w:type="dxa" w:w="3197"/>
            <w:vAlign w:val="center"/>
            <w:shd w:fill="F0F5F8"/>
          </w:tcPr>
          <w:p>
            <w:pPr>
              <w:spacing w:after="20" w:before="20"/>
            </w:pPr>
            <w:r>
              <w:rPr>
                <w:sz w:val="16"/>
              </w:rPr>
              <w:t>Test oracle / violating examples</w:t>
            </w:r>
          </w:p>
        </w:tc>
        <w:tc>
          <w:tcPr>
            <w:tcW w:type="dxa" w:w="6624"/>
            <w:vAlign w:val="center"/>
            <w:shd w:fill="F0F5F8"/>
          </w:tcPr>
          <w:p>
            <w:pPr>
              <w:spacing w:after="20" w:before="20"/>
            </w:pPr>
            <w:r>
              <w:rPr>
                <w:sz w:val="16"/>
              </w:rPr>
              <w:t>tests/test_domain.py; checks use assertRaises and inspect deadline/version/history</w:t>
            </w:r>
          </w:p>
        </w:tc>
      </w:tr>
      <w:tr>
        <w:tc>
          <w:tcPr>
            <w:tcW w:type="dxa" w:w="3197"/>
            <w:vAlign w:val="center"/>
          </w:tcPr>
          <w:p>
            <w:pPr>
              <w:spacing w:after="20" w:before="20"/>
            </w:pPr>
            <w:r>
              <w:rPr>
                <w:sz w:val="16"/>
              </w:rPr>
              <w:t>Recorded execution</w:t>
            </w:r>
          </w:p>
        </w:tc>
        <w:tc>
          <w:tcPr>
            <w:tcW w:type="dxa" w:w="6624"/>
            <w:vAlign w:val="center"/>
          </w:tcPr>
          <w:p>
            <w:pPr>
              <w:spacing w:after="20" w:before="20"/>
            </w:pPr>
            <w:r>
              <w:rPr>
                <w:sz w:val="16"/>
              </w:rPr>
              <w:t>evidence/test-results.txt; run python -m unittest discover -s tests -v</w:t>
            </w:r>
          </w:p>
        </w:tc>
      </w:tr>
      <w:tr>
        <w:tc>
          <w:tcPr>
            <w:tcW w:type="dxa" w:w="3197"/>
            <w:vAlign w:val="center"/>
            <w:shd w:fill="F0F5F8"/>
          </w:tcPr>
          <w:p>
            <w:pPr>
              <w:spacing w:after="20" w:before="20"/>
            </w:pPr>
            <w:r>
              <w:rPr>
                <w:sz w:val="16"/>
              </w:rPr>
              <w:t>Formal rules</w:t>
            </w:r>
          </w:p>
        </w:tc>
        <w:tc>
          <w:tcPr>
            <w:tcW w:type="dxa" w:w="6624"/>
            <w:vAlign w:val="center"/>
            <w:shd w:fill="F0F5F8"/>
          </w:tcPr>
          <w:p>
            <w:pPr>
              <w:spacing w:after="20" w:before="20"/>
            </w:pPr>
            <w:r>
              <w:rPr>
                <w:sz w:val="16"/>
              </w:rPr>
              <w:t>Domain-Data-Dictionary-and-Rules.xlsx, Rules and Invariants worksheets</w:t>
            </w:r>
          </w:p>
        </w:tc>
      </w:tr>
    </w:tbl>
    <w:p>
      <w:pPr>
        <w:spacing w:after="0"/>
      </w:pPr>
    </w:p>
    <w:p>
      <w:pPr>
        <w:pStyle w:val="Heading1"/>
      </w:pPr>
      <w:r>
        <w:t>9. Conclusion</w:t>
      </w:r>
    </w:p>
    <w:p>
      <w:r>
        <w:t>A2 converts the A1 deadline-change workflow into a bounded, inspectable domain model. The specification provides explicit language, diagrams, 31 data fields, five invariants, a nine-row decision table, and independent executable checks. The central guarantee is that untrusted, unreconciled or unapproved deadline changes do not alter the tracked record through the guarded domain workflow. Deployment would additionally require access-controlled persistence, authentic source verification, institutional privacy approval and measured integration behavior.</w:t>
      </w:r>
    </w:p>
    <w:sectPr w:rsidR="00FC693F" w:rsidRPr="0006063C" w:rsidSect="00034616">
      <w:headerReference w:type="default" r:id="rId9"/>
      <w:footerReference w:type="default" r:id="rId10"/>
      <w:pgSz w:w="12240" w:h="15840"/>
      <w:pgMar w:top="979" w:right="1037" w:bottom="950" w:left="1037" w:header="403"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877"/>
        <w:sz w:val="14"/>
      </w:rPr>
      <w:t xml:space="preserve">Domain Model &amp; Testable Specification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6877"/>
        <w:sz w:val="14"/>
      </w:rPr>
      <w:t>INTELLIGENT SOFTWARE ENGINEERING  /  ISE-A2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0344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Display" w:hAnsi="Aptos Display"/>
      <w:b/>
      <w:bCs/>
      <w:color w:val="173754"/>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6685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75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