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lineRule="exact"/>
      </w:pPr>
      <w:r>
        <w:drawing>
          <wp:anchor distT="0" distB="0" distL="0" distR="0" simplePos="0" allowOverlap="1" behindDoc="0" locked="0" layoutInCell="1" relativeHeight="10687050">
            <wp:simplePos x="0" y="0"/>
            <wp:positionH relativeFrom="page">
              <wp:posOffset>0</wp:posOffset>
            </wp:positionH>
            <wp:positionV relativeFrom="page">
              <wp:posOffset>0</wp:posOffset>
            </wp:positionV>
            <wp:extent cx="7562850" cy="10687050"/>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7562850" cy="10687050"/>
                    </a:xfrm>
                    <a:prstGeom prst="rect">
                      <a:avLst/>
                    </a:prstGeom>
                  </pic:spPr>
                </pic:pic>
              </a:graphicData>
            </a:graphic>
          </wp:anchor>
        </w:drawing>
      </w:r>
    </w:p>
    <w:p>
      <w:pPr>
        <w:sectPr>
          <w:pgSz w:w="11906" w:h="16838" w:orient="portrait"/>
          <w:pgMar w:top="0" w:right="0" w:bottom="0" w:left="0" w:header="708" w:footer="708" w:gutter="0"/>
          <w:pgNumType w:start="1"/>
          <w:titlePg w:val="false"/>
          <w:docGrid w:linePitch="360"/>
        </w:sectPr>
      </w:pPr>
    </w:p>
    <w:p>
      <w:pPr>
        <w:spacing w:after="240" w:before="0"/>
      </w:pPr>
      <w:r>
        <w:rPr>
          <w:sz w:val="16"/>
          <w:szCs w:val="16"/>
        </w:rPr>
        <w:t xml:space="preserve"> </w:t>
      </w:r>
    </w:p>
    <w:p>
      <w:pPr>
        <w:spacing w:after="480" w:before="240"/>
        <w:jc w:val="center"/>
      </w:pPr>
      <w:r>
        <w:drawing>
          <wp:inline distT="0" distB="0" distL="0" distR="0">
            <wp:extent cx="342900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429000" cy="857250"/>
                    </a:xfrm>
                    <a:prstGeom prst="rect">
                      <a:avLst/>
                    </a:prstGeom>
                  </pic:spPr>
                </pic:pic>
              </a:graphicData>
            </a:graphic>
          </wp:inline>
        </w:drawing>
      </w:r>
    </w:p>
    <w:p>
      <w:pPr>
        <w:spacing w:after="80" w:before="240"/>
        <w:jc w:val="center"/>
      </w:pPr>
      <w:r>
        <w:rPr>
          <w:rFonts w:ascii="Georgia" w:cs="Georgia" w:eastAsia="Georgia" w:hAnsi="Georgia"/>
          <w:b/>
          <w:bCs/>
          <w:color w:val="140F50"/>
          <w:sz w:val="32"/>
          <w:szCs w:val="32"/>
        </w:rPr>
        <w:t xml:space="preserve">(INFO 5001)</w:t>
      </w:r>
    </w:p>
    <w:p>
      <w:pPr>
        <w:spacing w:after="280" w:before="80"/>
        <w:jc w:val="center"/>
      </w:pPr>
      <w:r>
        <w:rPr>
          <w:rFonts w:ascii="Georgia" w:cs="Georgia" w:eastAsia="Georgia" w:hAnsi="Georgia"/>
          <w:b/>
          <w:bCs/>
          <w:color w:val="140F50"/>
          <w:sz w:val="32"/>
          <w:szCs w:val="32"/>
        </w:rPr>
        <w:t xml:space="preserve">Cyber Security</w:t>
      </w:r>
    </w:p>
    <w:p>
      <w:pPr>
        <w:spacing w:after="200" w:before="200"/>
        <w:jc w:val="center"/>
      </w:pPr>
      <w:r>
        <w:rPr>
          <w:rFonts w:ascii="Georgia" w:cs="Georgia" w:eastAsia="Georgia" w:hAnsi="Georgia"/>
          <w:b/>
          <w:bCs/>
          <w:color w:val="140F50"/>
          <w:sz w:val="30"/>
          <w:szCs w:val="30"/>
        </w:rPr>
        <w:t xml:space="preserve">Course Coordinator: Dr. Md Mokammel Haque</w:t>
      </w:r>
    </w:p>
    <w:p>
      <w:pPr>
        <w:spacing w:after="160" w:before="200"/>
        <w:jc w:val="center"/>
      </w:pPr>
      <w:r>
        <w:rPr>
          <w:rFonts w:ascii="Georgia" w:cs="Georgia" w:eastAsia="Georgia" w:hAnsi="Georgia"/>
          <w:b/>
          <w:bCs/>
          <w:color w:val="140F50"/>
          <w:sz w:val="30"/>
          <w:szCs w:val="30"/>
        </w:rPr>
        <w:t xml:space="preserve">Research Project:</w:t>
      </w:r>
    </w:p>
    <w:p>
      <w:pPr>
        <w:spacing w:after="320" w:before="80"/>
        <w:jc w:val="center"/>
      </w:pPr>
      <w:r>
        <w:rPr>
          <w:rFonts w:ascii="Georgia" w:cs="Georgia" w:eastAsia="Georgia" w:hAnsi="Georgia"/>
          <w:color w:val="5A5A5A"/>
          <w:sz w:val="24"/>
          <w:szCs w:val="24"/>
        </w:rPr>
        <w:t xml:space="preserve">A Critical Analysis and Extension of “How does Endpoint Detection use the MITRE ATT&amp;CK Framework?”</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40F50" w:sz="6"/>
              <w:left w:val="single" w:color="140F50" w:sz="6"/>
              <w:bottom w:val="single" w:color="140F50" w:sz="6"/>
              <w:right w:val="single" w:color="140F50" w:sz="6"/>
            </w:tcBorders>
            <w:shd w:fill="140F50" w:val="clear"/>
            <w:tcMar>
              <w:top w:type="dxa" w:w="100"/>
              <w:left w:type="dxa" w:w="140"/>
              <w:bottom w:type="dxa" w:w="100"/>
              <w:right w:type="dxa" w:w="140"/>
            </w:tcMar>
            <w:vAlign w:val="center"/>
          </w:tcPr>
          <w:p>
            <w:pPr>
              <w:jc w:val="center"/>
            </w:pPr>
            <w:r>
              <w:rPr>
                <w:rFonts w:ascii="Georgia" w:cs="Georgia" w:eastAsia="Georgia" w:hAnsi="Georgia"/>
                <w:b/>
                <w:bCs/>
                <w:color w:val="FFFFFF"/>
                <w:sz w:val="24"/>
                <w:szCs w:val="24"/>
              </w:rPr>
              <w:t xml:space="preserve">Student</w:t>
            </w:r>
          </w:p>
        </w:tc>
        <w:tc>
          <w:tcPr>
            <w:tcW w:type="dxa" w:w="3120"/>
            <w:tcBorders>
              <w:top w:val="single" w:color="140F50" w:sz="6"/>
              <w:left w:val="single" w:color="140F50" w:sz="6"/>
              <w:bottom w:val="single" w:color="140F50" w:sz="6"/>
              <w:right w:val="single" w:color="140F50" w:sz="6"/>
            </w:tcBorders>
            <w:shd w:fill="140F50" w:val="clear"/>
            <w:tcMar>
              <w:top w:type="dxa" w:w="100"/>
              <w:left w:type="dxa" w:w="140"/>
              <w:bottom w:type="dxa" w:w="100"/>
              <w:right w:type="dxa" w:w="140"/>
            </w:tcMar>
            <w:vAlign w:val="center"/>
          </w:tcPr>
          <w:p>
            <w:pPr>
              <w:jc w:val="center"/>
            </w:pPr>
            <w:r>
              <w:rPr>
                <w:rFonts w:ascii="Georgia" w:cs="Georgia" w:eastAsia="Georgia" w:hAnsi="Georgia"/>
                <w:b/>
                <w:bCs/>
                <w:color w:val="FFFFFF"/>
                <w:sz w:val="24"/>
                <w:szCs w:val="24"/>
              </w:rPr>
              <w:t xml:space="preserve">Name</w:t>
            </w:r>
          </w:p>
        </w:tc>
        <w:tc>
          <w:tcPr>
            <w:tcW w:type="dxa" w:w="3120"/>
            <w:tcBorders>
              <w:top w:val="single" w:color="140F50" w:sz="6"/>
              <w:left w:val="single" w:color="140F50" w:sz="6"/>
              <w:bottom w:val="single" w:color="140F50" w:sz="6"/>
              <w:right w:val="single" w:color="140F50" w:sz="6"/>
            </w:tcBorders>
            <w:shd w:fill="140F50" w:val="clear"/>
            <w:tcMar>
              <w:top w:type="dxa" w:w="100"/>
              <w:left w:type="dxa" w:w="140"/>
              <w:bottom w:type="dxa" w:w="100"/>
              <w:right w:type="dxa" w:w="140"/>
            </w:tcMar>
            <w:vAlign w:val="center"/>
          </w:tcPr>
          <w:p>
            <w:pPr>
              <w:jc w:val="center"/>
            </w:pPr>
            <w:r>
              <w:rPr>
                <w:rFonts w:ascii="Georgia" w:cs="Georgia" w:eastAsia="Georgia" w:hAnsi="Georgia"/>
                <w:b/>
                <w:bCs/>
                <w:color w:val="FFFFFF"/>
                <w:sz w:val="24"/>
                <w:szCs w:val="24"/>
              </w:rPr>
              <w:t xml:space="preserve">ID</w:t>
            </w:r>
          </w:p>
        </w:tc>
      </w:tr>
      <w:tr>
        <w:tc>
          <w:tcPr>
            <w:tcW w:type="dxa" w:w="3120"/>
            <w:tcBorders>
              <w:top w:val="single" w:color="140F50" w:sz="6"/>
              <w:left w:val="single" w:color="140F50" w:sz="6"/>
              <w:bottom w:val="single" w:color="140F50" w:sz="6"/>
              <w:right w:val="single" w:color="140F50" w:sz="6"/>
            </w:tcBorders>
            <w:tcMar>
              <w:top w:type="dxa" w:w="100"/>
              <w:left w:type="dxa" w:w="140"/>
              <w:bottom w:type="dxa" w:w="100"/>
              <w:right w:type="dxa" w:w="140"/>
            </w:tcMar>
            <w:vAlign w:val="center"/>
          </w:tcPr>
          <w:p>
            <w:pPr>
              <w:jc w:val="center"/>
            </w:pPr>
            <w:r>
              <w:rPr>
                <w:rFonts w:ascii="Georgia" w:cs="Georgia" w:eastAsia="Georgia" w:hAnsi="Georgia"/>
                <w:b w:val="false"/>
                <w:bCs w:val="false"/>
                <w:color w:val="5A5A5A"/>
                <w:sz w:val="22"/>
                <w:szCs w:val="22"/>
              </w:rPr>
              <w:t xml:space="preserve">Author</w:t>
            </w:r>
          </w:p>
        </w:tc>
        <w:tc>
          <w:tcPr>
            <w:tcW w:type="dxa" w:w="3120"/>
            <w:tcBorders>
              <w:top w:val="single" w:color="140F50" w:sz="6"/>
              <w:left w:val="single" w:color="140F50" w:sz="6"/>
              <w:bottom w:val="single" w:color="140F50" w:sz="6"/>
              <w:right w:val="single" w:color="140F50" w:sz="6"/>
            </w:tcBorders>
            <w:tcMar>
              <w:top w:type="dxa" w:w="100"/>
              <w:left w:type="dxa" w:w="140"/>
              <w:bottom w:type="dxa" w:w="100"/>
              <w:right w:type="dxa" w:w="140"/>
            </w:tcMar>
            <w:vAlign w:val="center"/>
          </w:tcPr>
          <w:p>
            <w:pPr>
              <w:jc w:val="center"/>
            </w:pPr>
            <w:r>
              <w:rPr>
                <w:rFonts w:ascii="Georgia" w:cs="Georgia" w:eastAsia="Georgia" w:hAnsi="Georgia"/>
                <w:b w:val="false"/>
                <w:bCs w:val="false"/>
                <w:color w:val="5A5A5A"/>
                <w:sz w:val="22"/>
                <w:szCs w:val="22"/>
              </w:rPr>
              <w:t xml:space="preserve">Junaid Abrar Razeen</w:t>
            </w:r>
          </w:p>
        </w:tc>
        <w:tc>
          <w:tcPr>
            <w:tcW w:type="dxa" w:w="3120"/>
            <w:tcBorders>
              <w:top w:val="single" w:color="140F50" w:sz="6"/>
              <w:left w:val="single" w:color="140F50" w:sz="6"/>
              <w:bottom w:val="single" w:color="140F50" w:sz="6"/>
              <w:right w:val="single" w:color="140F50" w:sz="6"/>
            </w:tcBorders>
            <w:tcMar>
              <w:top w:type="dxa" w:w="100"/>
              <w:left w:type="dxa" w:w="140"/>
              <w:bottom w:type="dxa" w:w="100"/>
              <w:right w:type="dxa" w:w="140"/>
            </w:tcMar>
            <w:vAlign w:val="center"/>
          </w:tcPr>
          <w:p>
            <w:pPr>
              <w:jc w:val="center"/>
            </w:pPr>
            <w:r>
              <w:rPr>
                <w:rFonts w:ascii="Georgia" w:cs="Georgia" w:eastAsia="Georgia" w:hAnsi="Georgia"/>
                <w:b w:val="false"/>
                <w:bCs w:val="false"/>
                <w:color w:val="5A5A5A"/>
                <w:sz w:val="22"/>
                <w:szCs w:val="22"/>
              </w:rPr>
              <w:t xml:space="preserve">A1991907</w:t>
            </w:r>
          </w:p>
        </w:tc>
      </w:tr>
    </w:tbl>
    <w:p>
      <w:pPr>
        <w:spacing w:before="480"/>
      </w:pPr>
      <w:r>
        <w:rPr>
          <w:sz w:val="24"/>
          <w:szCs w:val="24"/>
        </w:rPr>
        <w:t xml:space="preserve"> </w:t>
      </w:r>
    </w:p>
    <w:p>
      <w:pPr>
        <w:spacing w:after="240" w:before="240"/>
      </w:pPr>
      <w:r>
        <w:rPr>
          <w:rFonts w:ascii="Georgia" w:cs="Georgia" w:eastAsia="Georgia" w:hAnsi="Georgia"/>
          <w:b/>
          <w:bCs/>
          <w:smallCaps/>
          <w:color w:val="140F50"/>
          <w:sz w:val="24"/>
          <w:szCs w:val="24"/>
        </w:rPr>
        <w:t xml:space="preserve">DATE: </w:t>
      </w:r>
      <w:r>
        <w:rPr>
          <w:rFonts w:ascii="Georgia" w:cs="Georgia" w:eastAsia="Georgia" w:hAnsi="Georgia"/>
          <w:color w:val="5A5A5A"/>
          <w:sz w:val="24"/>
          <w:szCs w:val="24"/>
        </w:rPr>
        <w:t xml:space="preserve">25-05-2026</w:t>
      </w:r>
    </w:p>
    <w:p>
      <w:r>
        <w:br w:type="page"/>
      </w:r>
    </w:p>
    <w:p>
      <w:pPr>
        <w:spacing w:after="240" w:before="240"/>
      </w:pPr>
      <w:r>
        <w:rPr>
          <w:sz w:val="24"/>
          <w:szCs w:val="24"/>
        </w:rPr>
        <w:t xml:space="preserve"> </w:t>
      </w:r>
    </w:p>
    <w:p>
      <w:pPr>
        <w:spacing w:after="360" w:before="120"/>
        <w:jc w:val="center"/>
      </w:pPr>
      <w:r>
        <w:rPr>
          <w:rFonts w:ascii="Georgia" w:cs="Georgia" w:eastAsia="Georgia" w:hAnsi="Georgia"/>
          <w:b/>
          <w:bCs/>
          <w:color w:val="000000"/>
          <w:sz w:val="44"/>
          <w:szCs w:val="44"/>
        </w:rPr>
        <w:t xml:space="preserve">Table of Contents</w:t>
      </w:r>
    </w:p>
    <w:p>
      <w:pPr>
        <w:tabs>
          <w:tab w:val="right" w:pos="9000" w:leader="dot"/>
        </w:tabs>
        <w:spacing w:after="60" w:before="120"/>
      </w:pPr>
      <w:r>
        <w:rPr>
          <w:rFonts w:ascii="Georgia" w:cs="Georgia" w:eastAsia="Georgia" w:hAnsi="Georgia"/>
          <w:b/>
          <w:bCs/>
          <w:color w:val="140F50"/>
          <w:sz w:val="24"/>
          <w:szCs w:val="24"/>
        </w:rPr>
        <w:t xml:space="preserve">I.   </w:t>
      </w:r>
      <w:r>
        <w:rPr>
          <w:rFonts w:ascii="Georgia" w:cs="Georgia" w:eastAsia="Georgia" w:hAnsi="Georgia"/>
          <w:b/>
          <w:bCs/>
          <w:color w:val="140F50"/>
          <w:sz w:val="24"/>
          <w:szCs w:val="24"/>
        </w:rPr>
        <w:t xml:space="preserve">EXECUTIVE SUMMARY</w:t>
      </w:r>
      <w:r>
        <w:rPr>
          <w:rFonts w:ascii="Georgia" w:cs="Georgia" w:eastAsia="Georgia" w:hAnsi="Georgia"/>
        </w:rPr>
        <w:t xml:space="preserve">	</w:t>
      </w:r>
      <w:r>
        <w:rPr>
          <w:rFonts w:ascii="Georgia" w:cs="Georgia" w:eastAsia="Georgia" w:hAnsi="Georgia"/>
          <w:b/>
          <w:bCs/>
          <w:color w:val="140F50"/>
          <w:sz w:val="24"/>
          <w:szCs w:val="24"/>
        </w:rPr>
        <w:t xml:space="preserve">4</w:t>
      </w:r>
    </w:p>
    <w:p>
      <w:pPr>
        <w:tabs>
          <w:tab w:val="right" w:pos="9000" w:leader="dot"/>
        </w:tabs>
        <w:spacing w:after="60" w:before="120"/>
      </w:pPr>
      <w:r>
        <w:rPr>
          <w:rFonts w:ascii="Georgia" w:cs="Georgia" w:eastAsia="Georgia" w:hAnsi="Georgia"/>
          <w:b/>
          <w:bCs/>
          <w:color w:val="140F50"/>
          <w:sz w:val="24"/>
          <w:szCs w:val="24"/>
        </w:rPr>
        <w:t xml:space="preserve">II.   </w:t>
      </w:r>
      <w:r>
        <w:rPr>
          <w:rFonts w:ascii="Georgia" w:cs="Georgia" w:eastAsia="Georgia" w:hAnsi="Georgia"/>
          <w:b/>
          <w:bCs/>
          <w:color w:val="140F50"/>
          <w:sz w:val="24"/>
          <w:szCs w:val="24"/>
        </w:rPr>
        <w:t xml:space="preserve">INTRODUCTION</w:t>
      </w:r>
      <w:r>
        <w:rPr>
          <w:rFonts w:ascii="Georgia" w:cs="Georgia" w:eastAsia="Georgia" w:hAnsi="Georgia"/>
        </w:rPr>
        <w:t xml:space="preserve">	</w:t>
      </w:r>
      <w:r>
        <w:rPr>
          <w:rFonts w:ascii="Georgia" w:cs="Georgia" w:eastAsia="Georgia" w:hAnsi="Georgia"/>
          <w:b/>
          <w:bCs/>
          <w:color w:val="140F50"/>
          <w:sz w:val="24"/>
          <w:szCs w:val="24"/>
        </w:rPr>
        <w:t xml:space="preserve">6</w:t>
      </w:r>
    </w:p>
    <w:p>
      <w:pPr>
        <w:tabs>
          <w:tab w:val="right" w:pos="9000" w:leader="dot"/>
        </w:tabs>
        <w:spacing w:after="40" w:before="40"/>
        <w:ind w:left="540"/>
      </w:pPr>
      <w:r>
        <w:rPr>
          <w:rFonts w:ascii="Georgia" w:cs="Georgia" w:eastAsia="Georgia" w:hAnsi="Georgia"/>
          <w:smallCaps/>
          <w:color w:val="5A5A5A"/>
          <w:sz w:val="21"/>
          <w:szCs w:val="21"/>
        </w:rPr>
        <w:t xml:space="preserve">1. </w:t>
      </w:r>
      <w:r>
        <w:rPr>
          <w:rFonts w:ascii="Georgia" w:cs="Georgia" w:eastAsia="Georgia" w:hAnsi="Georgia"/>
          <w:smallCaps/>
          <w:color w:val="5A5A5A"/>
          <w:sz w:val="21"/>
          <w:szCs w:val="21"/>
        </w:rPr>
        <w:t xml:space="preserve">The MITRE ATT&amp;CK Framework as Industry Currency</w:t>
      </w:r>
      <w:r>
        <w:rPr>
          <w:rFonts w:ascii="Georgia" w:cs="Georgia" w:eastAsia="Georgia" w:hAnsi="Georgia"/>
        </w:rPr>
        <w:t xml:space="preserve">	</w:t>
      </w:r>
      <w:r>
        <w:rPr>
          <w:rFonts w:ascii="Georgia" w:cs="Georgia" w:eastAsia="Georgia" w:hAnsi="Georgia"/>
          <w:color w:val="5A5A5A"/>
          <w:sz w:val="21"/>
          <w:szCs w:val="21"/>
        </w:rPr>
        <w:t xml:space="preserve">6</w:t>
      </w:r>
    </w:p>
    <w:p>
      <w:pPr>
        <w:tabs>
          <w:tab w:val="right" w:pos="9000" w:leader="dot"/>
        </w:tabs>
        <w:spacing w:after="40" w:before="40"/>
        <w:ind w:left="540"/>
      </w:pPr>
      <w:r>
        <w:rPr>
          <w:rFonts w:ascii="Georgia" w:cs="Georgia" w:eastAsia="Georgia" w:hAnsi="Georgia"/>
          <w:smallCaps/>
          <w:color w:val="5A5A5A"/>
          <w:sz w:val="21"/>
          <w:szCs w:val="21"/>
        </w:rPr>
        <w:t xml:space="preserve">2. </w:t>
      </w:r>
      <w:r>
        <w:rPr>
          <w:rFonts w:ascii="Georgia" w:cs="Georgia" w:eastAsia="Georgia" w:hAnsi="Georgia"/>
          <w:smallCaps/>
          <w:color w:val="5A5A5A"/>
          <w:sz w:val="21"/>
          <w:szCs w:val="21"/>
        </w:rPr>
        <w:t xml:space="preserve">Course Context</w:t>
      </w:r>
      <w:r>
        <w:rPr>
          <w:rFonts w:ascii="Georgia" w:cs="Georgia" w:eastAsia="Georgia" w:hAnsi="Georgia"/>
        </w:rPr>
        <w:t xml:space="preserve">	</w:t>
      </w:r>
      <w:r>
        <w:rPr>
          <w:rFonts w:ascii="Georgia" w:cs="Georgia" w:eastAsia="Georgia" w:hAnsi="Georgia"/>
          <w:color w:val="5A5A5A"/>
          <w:sz w:val="21"/>
          <w:szCs w:val="21"/>
        </w:rPr>
        <w:t xml:space="preserve">6</w:t>
      </w:r>
    </w:p>
    <w:p>
      <w:pPr>
        <w:tabs>
          <w:tab w:val="right" w:pos="9000" w:leader="dot"/>
        </w:tabs>
        <w:spacing w:after="40" w:before="40"/>
        <w:ind w:left="540"/>
      </w:pPr>
      <w:r>
        <w:rPr>
          <w:rFonts w:ascii="Georgia" w:cs="Georgia" w:eastAsia="Georgia" w:hAnsi="Georgia"/>
          <w:smallCaps/>
          <w:color w:val="5A5A5A"/>
          <w:sz w:val="21"/>
          <w:szCs w:val="21"/>
        </w:rPr>
        <w:t xml:space="preserve">3. </w:t>
      </w:r>
      <w:r>
        <w:rPr>
          <w:rFonts w:ascii="Georgia" w:cs="Georgia" w:eastAsia="Georgia" w:hAnsi="Georgia"/>
          <w:smallCaps/>
          <w:color w:val="5A5A5A"/>
          <w:sz w:val="21"/>
          <w:szCs w:val="21"/>
        </w:rPr>
        <w:t xml:space="preserve">Scope and Contributions of This Report</w:t>
      </w:r>
      <w:r>
        <w:rPr>
          <w:rFonts w:ascii="Georgia" w:cs="Georgia" w:eastAsia="Georgia" w:hAnsi="Georgia"/>
        </w:rPr>
        <w:t xml:space="preserve">	</w:t>
      </w:r>
      <w:r>
        <w:rPr>
          <w:rFonts w:ascii="Georgia" w:cs="Georgia" w:eastAsia="Georgia" w:hAnsi="Georgia"/>
          <w:color w:val="5A5A5A"/>
          <w:sz w:val="21"/>
          <w:szCs w:val="21"/>
        </w:rPr>
        <w:t xml:space="preserve">7</w:t>
      </w:r>
    </w:p>
    <w:p>
      <w:pPr>
        <w:tabs>
          <w:tab w:val="right" w:pos="9000" w:leader="dot"/>
        </w:tabs>
        <w:spacing w:after="40" w:before="40"/>
        <w:ind w:left="540"/>
      </w:pPr>
      <w:r>
        <w:rPr>
          <w:rFonts w:ascii="Georgia" w:cs="Georgia" w:eastAsia="Georgia" w:hAnsi="Georgia"/>
          <w:smallCaps/>
          <w:color w:val="5A5A5A"/>
          <w:sz w:val="21"/>
          <w:szCs w:val="21"/>
        </w:rPr>
        <w:t xml:space="preserve">4. </w:t>
      </w:r>
      <w:r>
        <w:rPr>
          <w:rFonts w:ascii="Georgia" w:cs="Georgia" w:eastAsia="Georgia" w:hAnsi="Georgia"/>
          <w:smallCaps/>
          <w:color w:val="5A5A5A"/>
          <w:sz w:val="21"/>
          <w:szCs w:val="21"/>
        </w:rPr>
        <w:t xml:space="preserve">Report Structure</w:t>
      </w:r>
      <w:r>
        <w:rPr>
          <w:rFonts w:ascii="Georgia" w:cs="Georgia" w:eastAsia="Georgia" w:hAnsi="Georgia"/>
        </w:rPr>
        <w:t xml:space="preserve">	</w:t>
      </w:r>
      <w:r>
        <w:rPr>
          <w:rFonts w:ascii="Georgia" w:cs="Georgia" w:eastAsia="Georgia" w:hAnsi="Georgia"/>
          <w:color w:val="5A5A5A"/>
          <w:sz w:val="21"/>
          <w:szCs w:val="21"/>
        </w:rPr>
        <w:t xml:space="preserve">8</w:t>
      </w:r>
    </w:p>
    <w:p>
      <w:pPr>
        <w:tabs>
          <w:tab w:val="right" w:pos="9000" w:leader="dot"/>
        </w:tabs>
        <w:spacing w:after="60" w:before="120"/>
      </w:pPr>
      <w:r>
        <w:rPr>
          <w:rFonts w:ascii="Georgia" w:cs="Georgia" w:eastAsia="Georgia" w:hAnsi="Georgia"/>
          <w:b/>
          <w:bCs/>
          <w:color w:val="140F50"/>
          <w:sz w:val="24"/>
          <w:szCs w:val="24"/>
        </w:rPr>
        <w:t xml:space="preserve">III.   </w:t>
      </w:r>
      <w:r>
        <w:rPr>
          <w:rFonts w:ascii="Georgia" w:cs="Georgia" w:eastAsia="Georgia" w:hAnsi="Georgia"/>
          <w:b/>
          <w:bCs/>
          <w:color w:val="140F50"/>
          <w:sz w:val="24"/>
          <w:szCs w:val="24"/>
        </w:rPr>
        <w:t xml:space="preserve">PAPER SUMMARY</w:t>
      </w:r>
      <w:r>
        <w:rPr>
          <w:rFonts w:ascii="Georgia" w:cs="Georgia" w:eastAsia="Georgia" w:hAnsi="Georgia"/>
        </w:rPr>
        <w:t xml:space="preserve">	</w:t>
      </w:r>
      <w:r>
        <w:rPr>
          <w:rFonts w:ascii="Georgia" w:cs="Georgia" w:eastAsia="Georgia" w:hAnsi="Georgia"/>
          <w:b/>
          <w:bCs/>
          <w:color w:val="140F50"/>
          <w:sz w:val="24"/>
          <w:szCs w:val="24"/>
        </w:rPr>
        <w:t xml:space="preserve">9</w:t>
      </w:r>
    </w:p>
    <w:p>
      <w:pPr>
        <w:tabs>
          <w:tab w:val="right" w:pos="9000" w:leader="dot"/>
        </w:tabs>
        <w:spacing w:after="60" w:before="120"/>
      </w:pPr>
      <w:r>
        <w:rPr>
          <w:rFonts w:ascii="Georgia" w:cs="Georgia" w:eastAsia="Georgia" w:hAnsi="Georgia"/>
          <w:b/>
          <w:bCs/>
          <w:color w:val="140F50"/>
          <w:sz w:val="24"/>
          <w:szCs w:val="24"/>
        </w:rPr>
        <w:t xml:space="preserve">IV.   </w:t>
      </w:r>
      <w:r>
        <w:rPr>
          <w:rFonts w:ascii="Georgia" w:cs="Georgia" w:eastAsia="Georgia" w:hAnsi="Georgia"/>
          <w:b/>
          <w:bCs/>
          <w:color w:val="140F50"/>
          <w:sz w:val="24"/>
          <w:szCs w:val="24"/>
        </w:rPr>
        <w:t xml:space="preserve">CRITICAL ANALYSIS</w:t>
      </w:r>
      <w:r>
        <w:rPr>
          <w:rFonts w:ascii="Georgia" w:cs="Georgia" w:eastAsia="Georgia" w:hAnsi="Georgia"/>
        </w:rPr>
        <w:t xml:space="preserve">	</w:t>
      </w:r>
      <w:r>
        <w:rPr>
          <w:rFonts w:ascii="Georgia" w:cs="Georgia" w:eastAsia="Georgia" w:hAnsi="Georgia"/>
          <w:b/>
          <w:bCs/>
          <w:color w:val="140F50"/>
          <w:sz w:val="24"/>
          <w:szCs w:val="24"/>
        </w:rPr>
        <w:t xml:space="preserve">10</w:t>
      </w:r>
    </w:p>
    <w:p>
      <w:pPr>
        <w:tabs>
          <w:tab w:val="right" w:pos="9000" w:leader="dot"/>
        </w:tabs>
        <w:spacing w:after="40" w:before="40"/>
        <w:ind w:left="540"/>
      </w:pPr>
      <w:r>
        <w:rPr>
          <w:rFonts w:ascii="Georgia" w:cs="Georgia" w:eastAsia="Georgia" w:hAnsi="Georgia"/>
          <w:smallCaps/>
          <w:color w:val="5A5A5A"/>
          <w:sz w:val="21"/>
          <w:szCs w:val="21"/>
        </w:rPr>
        <w:t xml:space="preserve">1. </w:t>
      </w:r>
      <w:r>
        <w:rPr>
          <w:rFonts w:ascii="Georgia" w:cs="Georgia" w:eastAsia="Georgia" w:hAnsi="Georgia"/>
          <w:smallCaps/>
          <w:color w:val="5A5A5A"/>
          <w:sz w:val="21"/>
          <w:szCs w:val="21"/>
        </w:rPr>
        <w:t xml:space="preserve">Strengths</w:t>
      </w:r>
      <w:r>
        <w:rPr>
          <w:rFonts w:ascii="Georgia" w:cs="Georgia" w:eastAsia="Georgia" w:hAnsi="Georgia"/>
        </w:rPr>
        <w:t xml:space="preserve">	</w:t>
      </w:r>
      <w:r>
        <w:rPr>
          <w:rFonts w:ascii="Georgia" w:cs="Georgia" w:eastAsia="Georgia" w:hAnsi="Georgia"/>
          <w:color w:val="5A5A5A"/>
          <w:sz w:val="21"/>
          <w:szCs w:val="21"/>
        </w:rPr>
        <w:t xml:space="preserve">10</w:t>
      </w:r>
    </w:p>
    <w:p>
      <w:pPr>
        <w:tabs>
          <w:tab w:val="right" w:pos="9000" w:leader="dot"/>
        </w:tabs>
        <w:spacing w:after="40" w:before="40"/>
        <w:ind w:left="540"/>
      </w:pPr>
      <w:r>
        <w:rPr>
          <w:rFonts w:ascii="Georgia" w:cs="Georgia" w:eastAsia="Georgia" w:hAnsi="Georgia"/>
          <w:smallCaps/>
          <w:color w:val="5A5A5A"/>
          <w:sz w:val="21"/>
          <w:szCs w:val="21"/>
        </w:rPr>
        <w:t xml:space="preserve">2. </w:t>
      </w:r>
      <w:r>
        <w:rPr>
          <w:rFonts w:ascii="Georgia" w:cs="Georgia" w:eastAsia="Georgia" w:hAnsi="Georgia"/>
          <w:smallCaps/>
          <w:color w:val="5A5A5A"/>
          <w:sz w:val="21"/>
          <w:szCs w:val="21"/>
        </w:rPr>
        <w:t xml:space="preserve">Weaknesses</w:t>
      </w:r>
      <w:r>
        <w:rPr>
          <w:rFonts w:ascii="Georgia" w:cs="Georgia" w:eastAsia="Georgia" w:hAnsi="Georgia"/>
        </w:rPr>
        <w:t xml:space="preserve">	</w:t>
      </w:r>
      <w:r>
        <w:rPr>
          <w:rFonts w:ascii="Georgia" w:cs="Georgia" w:eastAsia="Georgia" w:hAnsi="Georgia"/>
          <w:color w:val="5A5A5A"/>
          <w:sz w:val="21"/>
          <w:szCs w:val="21"/>
        </w:rPr>
        <w:t xml:space="preserve">13</w:t>
      </w:r>
    </w:p>
    <w:p>
      <w:pPr>
        <w:tabs>
          <w:tab w:val="right" w:pos="9000" w:leader="dot"/>
        </w:tabs>
        <w:spacing w:after="60" w:before="120"/>
      </w:pPr>
      <w:r>
        <w:rPr>
          <w:rFonts w:ascii="Georgia" w:cs="Georgia" w:eastAsia="Georgia" w:hAnsi="Georgia"/>
          <w:b/>
          <w:bCs/>
          <w:color w:val="140F50"/>
          <w:sz w:val="24"/>
          <w:szCs w:val="24"/>
        </w:rPr>
        <w:t xml:space="preserve">V.   </w:t>
      </w:r>
      <w:r>
        <w:rPr>
          <w:rFonts w:ascii="Georgia" w:cs="Georgia" w:eastAsia="Georgia" w:hAnsi="Georgia"/>
          <w:b/>
          <w:bCs/>
          <w:color w:val="140F50"/>
          <w:sz w:val="24"/>
          <w:szCs w:val="24"/>
        </w:rPr>
        <w:t xml:space="preserve">ARTIFACT EVALUATION</w:t>
      </w:r>
      <w:r>
        <w:rPr>
          <w:rFonts w:ascii="Georgia" w:cs="Georgia" w:eastAsia="Georgia" w:hAnsi="Georgia"/>
        </w:rPr>
        <w:t xml:space="preserve">	</w:t>
      </w:r>
      <w:r>
        <w:rPr>
          <w:rFonts w:ascii="Georgia" w:cs="Georgia" w:eastAsia="Georgia" w:hAnsi="Georgia"/>
          <w:b/>
          <w:bCs/>
          <w:color w:val="140F50"/>
          <w:sz w:val="24"/>
          <w:szCs w:val="24"/>
        </w:rPr>
        <w:t xml:space="preserve">18</w:t>
      </w:r>
    </w:p>
    <w:p>
      <w:pPr>
        <w:tabs>
          <w:tab w:val="right" w:pos="9000" w:leader="dot"/>
        </w:tabs>
        <w:spacing w:after="40" w:before="40"/>
        <w:ind w:left="540"/>
      </w:pPr>
      <w:r>
        <w:rPr>
          <w:rFonts w:ascii="Georgia" w:cs="Georgia" w:eastAsia="Georgia" w:hAnsi="Georgia"/>
          <w:smallCaps/>
          <w:color w:val="5A5A5A"/>
          <w:sz w:val="21"/>
          <w:szCs w:val="21"/>
        </w:rPr>
        <w:t xml:space="preserve">1. </w:t>
      </w:r>
      <w:r>
        <w:rPr>
          <w:rFonts w:ascii="Georgia" w:cs="Georgia" w:eastAsia="Georgia" w:hAnsi="Georgia"/>
          <w:smallCaps/>
          <w:color w:val="5A5A5A"/>
          <w:sz w:val="21"/>
          <w:szCs w:val="21"/>
        </w:rPr>
        <w:t xml:space="preserve">Documented</w:t>
      </w:r>
      <w:r>
        <w:rPr>
          <w:rFonts w:ascii="Georgia" w:cs="Georgia" w:eastAsia="Georgia" w:hAnsi="Georgia"/>
        </w:rPr>
        <w:t xml:space="preserve">	</w:t>
      </w:r>
      <w:r>
        <w:rPr>
          <w:rFonts w:ascii="Georgia" w:cs="Georgia" w:eastAsia="Georgia" w:hAnsi="Georgia"/>
          <w:color w:val="5A5A5A"/>
          <w:sz w:val="21"/>
          <w:szCs w:val="21"/>
        </w:rPr>
        <w:t xml:space="preserve">18</w:t>
      </w:r>
    </w:p>
    <w:p>
      <w:pPr>
        <w:tabs>
          <w:tab w:val="right" w:pos="9000" w:leader="dot"/>
        </w:tabs>
        <w:spacing w:after="40" w:before="40"/>
        <w:ind w:left="540"/>
      </w:pPr>
      <w:r>
        <w:rPr>
          <w:rFonts w:ascii="Georgia" w:cs="Georgia" w:eastAsia="Georgia" w:hAnsi="Georgia"/>
          <w:smallCaps/>
          <w:color w:val="5A5A5A"/>
          <w:sz w:val="21"/>
          <w:szCs w:val="21"/>
        </w:rPr>
        <w:t xml:space="preserve">2. </w:t>
      </w:r>
      <w:r>
        <w:rPr>
          <w:rFonts w:ascii="Georgia" w:cs="Georgia" w:eastAsia="Georgia" w:hAnsi="Georgia"/>
          <w:smallCaps/>
          <w:color w:val="5A5A5A"/>
          <w:sz w:val="21"/>
          <w:szCs w:val="21"/>
        </w:rPr>
        <w:t xml:space="preserve">Consistent</w:t>
      </w:r>
      <w:r>
        <w:rPr>
          <w:rFonts w:ascii="Georgia" w:cs="Georgia" w:eastAsia="Georgia" w:hAnsi="Georgia"/>
        </w:rPr>
        <w:t xml:space="preserve">	</w:t>
      </w:r>
      <w:r>
        <w:rPr>
          <w:rFonts w:ascii="Georgia" w:cs="Georgia" w:eastAsia="Georgia" w:hAnsi="Georgia"/>
          <w:color w:val="5A5A5A"/>
          <w:sz w:val="21"/>
          <w:szCs w:val="21"/>
        </w:rPr>
        <w:t xml:space="preserve">18</w:t>
      </w:r>
    </w:p>
    <w:p>
      <w:pPr>
        <w:tabs>
          <w:tab w:val="right" w:pos="9000" w:leader="dot"/>
        </w:tabs>
        <w:spacing w:after="40" w:before="40"/>
        <w:ind w:left="540"/>
      </w:pPr>
      <w:r>
        <w:rPr>
          <w:rFonts w:ascii="Georgia" w:cs="Georgia" w:eastAsia="Georgia" w:hAnsi="Georgia"/>
          <w:smallCaps/>
          <w:color w:val="5A5A5A"/>
          <w:sz w:val="21"/>
          <w:szCs w:val="21"/>
        </w:rPr>
        <w:t xml:space="preserve">3. </w:t>
      </w:r>
      <w:r>
        <w:rPr>
          <w:rFonts w:ascii="Georgia" w:cs="Georgia" w:eastAsia="Georgia" w:hAnsi="Georgia"/>
          <w:smallCaps/>
          <w:color w:val="5A5A5A"/>
          <w:sz w:val="21"/>
          <w:szCs w:val="21"/>
        </w:rPr>
        <w:t xml:space="preserve">Complete</w:t>
      </w:r>
      <w:r>
        <w:rPr>
          <w:rFonts w:ascii="Georgia" w:cs="Georgia" w:eastAsia="Georgia" w:hAnsi="Georgia"/>
        </w:rPr>
        <w:t xml:space="preserve">	</w:t>
      </w:r>
      <w:r>
        <w:rPr>
          <w:rFonts w:ascii="Georgia" w:cs="Georgia" w:eastAsia="Georgia" w:hAnsi="Georgia"/>
          <w:color w:val="5A5A5A"/>
          <w:sz w:val="21"/>
          <w:szCs w:val="21"/>
        </w:rPr>
        <w:t xml:space="preserve">19</w:t>
      </w:r>
    </w:p>
    <w:p>
      <w:pPr>
        <w:tabs>
          <w:tab w:val="right" w:pos="9000" w:leader="dot"/>
        </w:tabs>
        <w:spacing w:after="40" w:before="40"/>
        <w:ind w:left="540"/>
      </w:pPr>
      <w:r>
        <w:rPr>
          <w:rFonts w:ascii="Georgia" w:cs="Georgia" w:eastAsia="Georgia" w:hAnsi="Georgia"/>
          <w:smallCaps/>
          <w:color w:val="5A5A5A"/>
          <w:sz w:val="21"/>
          <w:szCs w:val="21"/>
        </w:rPr>
        <w:t xml:space="preserve">4. </w:t>
      </w:r>
      <w:r>
        <w:rPr>
          <w:rFonts w:ascii="Georgia" w:cs="Georgia" w:eastAsia="Georgia" w:hAnsi="Georgia"/>
          <w:smallCaps/>
          <w:color w:val="5A5A5A"/>
          <w:sz w:val="21"/>
          <w:szCs w:val="21"/>
        </w:rPr>
        <w:t xml:space="preserve">Exercisable</w:t>
      </w:r>
      <w:r>
        <w:rPr>
          <w:rFonts w:ascii="Georgia" w:cs="Georgia" w:eastAsia="Georgia" w:hAnsi="Georgia"/>
        </w:rPr>
        <w:t xml:space="preserve">	</w:t>
      </w:r>
      <w:r>
        <w:rPr>
          <w:rFonts w:ascii="Georgia" w:cs="Georgia" w:eastAsia="Georgia" w:hAnsi="Georgia"/>
          <w:color w:val="5A5A5A"/>
          <w:sz w:val="21"/>
          <w:szCs w:val="21"/>
        </w:rPr>
        <w:t xml:space="preserve">19</w:t>
      </w:r>
    </w:p>
    <w:p>
      <w:pPr>
        <w:tabs>
          <w:tab w:val="right" w:pos="9000" w:leader="dot"/>
        </w:tabs>
        <w:spacing w:after="40" w:before="40"/>
        <w:ind w:left="540"/>
      </w:pPr>
      <w:r>
        <w:rPr>
          <w:rFonts w:ascii="Georgia" w:cs="Georgia" w:eastAsia="Georgia" w:hAnsi="Georgia"/>
          <w:smallCaps/>
          <w:color w:val="5A5A5A"/>
          <w:sz w:val="21"/>
          <w:szCs w:val="21"/>
        </w:rPr>
        <w:t xml:space="preserve">5. </w:t>
      </w:r>
      <w:r>
        <w:rPr>
          <w:rFonts w:ascii="Georgia" w:cs="Georgia" w:eastAsia="Georgia" w:hAnsi="Georgia"/>
          <w:smallCaps/>
          <w:color w:val="5A5A5A"/>
          <w:sz w:val="21"/>
          <w:szCs w:val="21"/>
        </w:rPr>
        <w:t xml:space="preserve">Results Reproduced</w:t>
      </w:r>
      <w:r>
        <w:rPr>
          <w:rFonts w:ascii="Georgia" w:cs="Georgia" w:eastAsia="Georgia" w:hAnsi="Georgia"/>
        </w:rPr>
        <w:t xml:space="preserve">	</w:t>
      </w:r>
      <w:r>
        <w:rPr>
          <w:rFonts w:ascii="Georgia" w:cs="Georgia" w:eastAsia="Georgia" w:hAnsi="Georgia"/>
          <w:color w:val="5A5A5A"/>
          <w:sz w:val="21"/>
          <w:szCs w:val="21"/>
        </w:rPr>
        <w:t xml:space="preserve">21</w:t>
      </w:r>
    </w:p>
    <w:p>
      <w:pPr>
        <w:tabs>
          <w:tab w:val="right" w:pos="9000" w:leader="dot"/>
        </w:tabs>
        <w:spacing w:after="60" w:before="120"/>
      </w:pPr>
      <w:r>
        <w:rPr>
          <w:rFonts w:ascii="Georgia" w:cs="Georgia" w:eastAsia="Georgia" w:hAnsi="Georgia"/>
          <w:b/>
          <w:bCs/>
          <w:color w:val="140F50"/>
          <w:sz w:val="24"/>
          <w:szCs w:val="24"/>
        </w:rPr>
        <w:t xml:space="preserve">VI.   </w:t>
      </w:r>
      <w:r>
        <w:rPr>
          <w:rFonts w:ascii="Georgia" w:cs="Georgia" w:eastAsia="Georgia" w:hAnsi="Georgia"/>
          <w:b/>
          <w:bCs/>
          <w:color w:val="140F50"/>
          <w:sz w:val="24"/>
          <w:szCs w:val="24"/>
        </w:rPr>
        <w:t xml:space="preserve">IMPROVEMENT: MICROSOFT SENTINEL EXTENSION</w:t>
      </w:r>
      <w:r>
        <w:rPr>
          <w:rFonts w:ascii="Georgia" w:cs="Georgia" w:eastAsia="Georgia" w:hAnsi="Georgia"/>
        </w:rPr>
        <w:t xml:space="preserve">	</w:t>
      </w:r>
      <w:r>
        <w:rPr>
          <w:rFonts w:ascii="Georgia" w:cs="Georgia" w:eastAsia="Georgia" w:hAnsi="Georgia"/>
          <w:b/>
          <w:bCs/>
          <w:color w:val="140F50"/>
          <w:sz w:val="24"/>
          <w:szCs w:val="24"/>
        </w:rPr>
        <w:t xml:space="preserve">24</w:t>
      </w:r>
    </w:p>
    <w:p>
      <w:pPr>
        <w:tabs>
          <w:tab w:val="right" w:pos="9000" w:leader="dot"/>
        </w:tabs>
        <w:spacing w:after="40" w:before="40"/>
        <w:ind w:left="540"/>
      </w:pPr>
      <w:r>
        <w:rPr>
          <w:rFonts w:ascii="Georgia" w:cs="Georgia" w:eastAsia="Georgia" w:hAnsi="Georgia"/>
          <w:smallCaps/>
          <w:color w:val="5A5A5A"/>
          <w:sz w:val="21"/>
          <w:szCs w:val="21"/>
        </w:rPr>
        <w:t xml:space="preserve">1. </w:t>
      </w:r>
      <w:r>
        <w:rPr>
          <w:rFonts w:ascii="Georgia" w:cs="Georgia" w:eastAsia="Georgia" w:hAnsi="Georgia"/>
          <w:smallCaps/>
          <w:color w:val="5A5A5A"/>
          <w:sz w:val="21"/>
          <w:szCs w:val="21"/>
        </w:rPr>
        <w:t xml:space="preserve">Motivation</w:t>
      </w:r>
      <w:r>
        <w:rPr>
          <w:rFonts w:ascii="Georgia" w:cs="Georgia" w:eastAsia="Georgia" w:hAnsi="Georgia"/>
        </w:rPr>
        <w:t xml:space="preserve">	</w:t>
      </w:r>
      <w:r>
        <w:rPr>
          <w:rFonts w:ascii="Georgia" w:cs="Georgia" w:eastAsia="Georgia" w:hAnsi="Georgia"/>
          <w:color w:val="5A5A5A"/>
          <w:sz w:val="21"/>
          <w:szCs w:val="21"/>
        </w:rPr>
        <w:t xml:space="preserve">24</w:t>
      </w:r>
    </w:p>
    <w:p>
      <w:pPr>
        <w:tabs>
          <w:tab w:val="right" w:pos="9000" w:leader="dot"/>
        </w:tabs>
        <w:spacing w:after="40" w:before="40"/>
        <w:ind w:left="540"/>
      </w:pPr>
      <w:r>
        <w:rPr>
          <w:rFonts w:ascii="Georgia" w:cs="Georgia" w:eastAsia="Georgia" w:hAnsi="Georgia"/>
          <w:smallCaps/>
          <w:color w:val="5A5A5A"/>
          <w:sz w:val="21"/>
          <w:szCs w:val="21"/>
        </w:rPr>
        <w:t xml:space="preserve">2. </w:t>
      </w:r>
      <w:r>
        <w:rPr>
          <w:rFonts w:ascii="Georgia" w:cs="Georgia" w:eastAsia="Georgia" w:hAnsi="Georgia"/>
          <w:smallCaps/>
          <w:color w:val="5A5A5A"/>
          <w:sz w:val="21"/>
          <w:szCs w:val="21"/>
        </w:rPr>
        <w:t xml:space="preserve">Methodology</w:t>
      </w:r>
      <w:r>
        <w:rPr>
          <w:rFonts w:ascii="Georgia" w:cs="Georgia" w:eastAsia="Georgia" w:hAnsi="Georgia"/>
        </w:rPr>
        <w:t xml:space="preserve">	</w:t>
      </w:r>
      <w:r>
        <w:rPr>
          <w:rFonts w:ascii="Georgia" w:cs="Georgia" w:eastAsia="Georgia" w:hAnsi="Georgia"/>
          <w:color w:val="5A5A5A"/>
          <w:sz w:val="21"/>
          <w:szCs w:val="21"/>
        </w:rPr>
        <w:t xml:space="preserve">25</w:t>
      </w:r>
    </w:p>
    <w:p>
      <w:pPr>
        <w:tabs>
          <w:tab w:val="right" w:pos="9000" w:leader="dot"/>
        </w:tabs>
        <w:spacing w:after="40" w:before="40"/>
        <w:ind w:left="540"/>
      </w:pPr>
      <w:r>
        <w:rPr>
          <w:rFonts w:ascii="Georgia" w:cs="Georgia" w:eastAsia="Georgia" w:hAnsi="Georgia"/>
          <w:smallCaps/>
          <w:color w:val="5A5A5A"/>
          <w:sz w:val="21"/>
          <w:szCs w:val="21"/>
        </w:rPr>
        <w:t xml:space="preserve">3. </w:t>
      </w:r>
      <w:r>
        <w:rPr>
          <w:rFonts w:ascii="Georgia" w:cs="Georgia" w:eastAsia="Georgia" w:hAnsi="Georgia"/>
          <w:smallCaps/>
          <w:color w:val="5A5A5A"/>
          <w:sz w:val="21"/>
          <w:szCs w:val="21"/>
        </w:rPr>
        <w:t xml:space="preserve">Results</w:t>
      </w:r>
      <w:r>
        <w:rPr>
          <w:rFonts w:ascii="Georgia" w:cs="Georgia" w:eastAsia="Georgia" w:hAnsi="Georgia"/>
        </w:rPr>
        <w:t xml:space="preserve">	</w:t>
      </w:r>
      <w:r>
        <w:rPr>
          <w:rFonts w:ascii="Georgia" w:cs="Georgia" w:eastAsia="Georgia" w:hAnsi="Georgia"/>
          <w:color w:val="5A5A5A"/>
          <w:sz w:val="21"/>
          <w:szCs w:val="21"/>
        </w:rPr>
        <w:t xml:space="preserve">26</w:t>
      </w:r>
    </w:p>
    <w:p>
      <w:pPr>
        <w:tabs>
          <w:tab w:val="right" w:pos="9000" w:leader="dot"/>
        </w:tabs>
        <w:spacing w:after="40" w:before="40"/>
        <w:ind w:left="540"/>
      </w:pPr>
      <w:r>
        <w:rPr>
          <w:rFonts w:ascii="Georgia" w:cs="Georgia" w:eastAsia="Georgia" w:hAnsi="Georgia"/>
          <w:smallCaps/>
          <w:color w:val="5A5A5A"/>
          <w:sz w:val="21"/>
          <w:szCs w:val="21"/>
        </w:rPr>
        <w:t xml:space="preserve">4. </w:t>
      </w:r>
      <w:r>
        <w:rPr>
          <w:rFonts w:ascii="Georgia" w:cs="Georgia" w:eastAsia="Georgia" w:hAnsi="Georgia"/>
          <w:smallCaps/>
          <w:color w:val="5A5A5A"/>
          <w:sz w:val="21"/>
          <w:szCs w:val="21"/>
        </w:rPr>
        <w:t xml:space="preserve">Discussion</w:t>
      </w:r>
      <w:r>
        <w:rPr>
          <w:rFonts w:ascii="Georgia" w:cs="Georgia" w:eastAsia="Georgia" w:hAnsi="Georgia"/>
        </w:rPr>
        <w:t xml:space="preserve">	</w:t>
      </w:r>
      <w:r>
        <w:rPr>
          <w:rFonts w:ascii="Georgia" w:cs="Georgia" w:eastAsia="Georgia" w:hAnsi="Georgia"/>
          <w:color w:val="5A5A5A"/>
          <w:sz w:val="21"/>
          <w:szCs w:val="21"/>
        </w:rPr>
        <w:t xml:space="preserve">29</w:t>
      </w:r>
    </w:p>
    <w:p>
      <w:pPr>
        <w:tabs>
          <w:tab w:val="right" w:pos="9000" w:leader="dot"/>
        </w:tabs>
        <w:spacing w:after="60" w:before="120"/>
      </w:pPr>
      <w:r>
        <w:rPr>
          <w:rFonts w:ascii="Georgia" w:cs="Georgia" w:eastAsia="Georgia" w:hAnsi="Georgia"/>
          <w:b/>
          <w:bCs/>
          <w:color w:val="140F50"/>
          <w:sz w:val="24"/>
          <w:szCs w:val="24"/>
        </w:rPr>
        <w:t xml:space="preserve">VII.   </w:t>
      </w:r>
      <w:r>
        <w:rPr>
          <w:rFonts w:ascii="Georgia" w:cs="Georgia" w:eastAsia="Georgia" w:hAnsi="Georgia"/>
          <w:b/>
          <w:bCs/>
          <w:color w:val="140F50"/>
          <w:sz w:val="24"/>
          <w:szCs w:val="24"/>
        </w:rPr>
        <w:t xml:space="preserve">DISCUSSION AND COURSE-ANCHORED IMPLICATIONS</w:t>
      </w:r>
      <w:r>
        <w:rPr>
          <w:rFonts w:ascii="Georgia" w:cs="Georgia" w:eastAsia="Georgia" w:hAnsi="Georgia"/>
        </w:rPr>
        <w:t xml:space="preserve">	</w:t>
      </w:r>
      <w:r>
        <w:rPr>
          <w:rFonts w:ascii="Georgia" w:cs="Georgia" w:eastAsia="Georgia" w:hAnsi="Georgia"/>
          <w:b/>
          <w:bCs/>
          <w:color w:val="140F50"/>
          <w:sz w:val="24"/>
          <w:szCs w:val="24"/>
        </w:rPr>
        <w:t xml:space="preserve">32</w:t>
      </w:r>
    </w:p>
    <w:p>
      <w:pPr>
        <w:tabs>
          <w:tab w:val="right" w:pos="9000" w:leader="dot"/>
        </w:tabs>
        <w:spacing w:after="40" w:before="40"/>
        <w:ind w:left="540"/>
      </w:pPr>
      <w:r>
        <w:rPr>
          <w:rFonts w:ascii="Georgia" w:cs="Georgia" w:eastAsia="Georgia" w:hAnsi="Georgia"/>
          <w:smallCaps/>
          <w:color w:val="5A5A5A"/>
          <w:sz w:val="21"/>
          <w:szCs w:val="21"/>
        </w:rPr>
        <w:t xml:space="preserve">1. </w:t>
      </w:r>
      <w:r>
        <w:rPr>
          <w:rFonts w:ascii="Georgia" w:cs="Georgia" w:eastAsia="Georgia" w:hAnsi="Georgia"/>
          <w:smallCaps/>
          <w:color w:val="5A5A5A"/>
          <w:sz w:val="21"/>
          <w:szCs w:val="21"/>
        </w:rPr>
        <w:t xml:space="preserve">What Virkud et al. got right, and what the extension adds</w:t>
      </w:r>
      <w:r>
        <w:rPr>
          <w:rFonts w:ascii="Georgia" w:cs="Georgia" w:eastAsia="Georgia" w:hAnsi="Georgia"/>
        </w:rPr>
        <w:t xml:space="preserve">	</w:t>
      </w:r>
      <w:r>
        <w:rPr>
          <w:rFonts w:ascii="Georgia" w:cs="Georgia" w:eastAsia="Georgia" w:hAnsi="Georgia"/>
          <w:color w:val="5A5A5A"/>
          <w:sz w:val="21"/>
          <w:szCs w:val="21"/>
        </w:rPr>
        <w:t xml:space="preserve">32</w:t>
      </w:r>
    </w:p>
    <w:p>
      <w:pPr>
        <w:tabs>
          <w:tab w:val="right" w:pos="9000" w:leader="dot"/>
        </w:tabs>
        <w:spacing w:after="40" w:before="40"/>
        <w:ind w:left="540"/>
      </w:pPr>
      <w:r>
        <w:rPr>
          <w:rFonts w:ascii="Georgia" w:cs="Georgia" w:eastAsia="Georgia" w:hAnsi="Georgia"/>
          <w:smallCaps/>
          <w:color w:val="5A5A5A"/>
          <w:sz w:val="21"/>
          <w:szCs w:val="21"/>
        </w:rPr>
        <w:t xml:space="preserve">2. </w:t>
      </w:r>
      <w:r>
        <w:rPr>
          <w:rFonts w:ascii="Georgia" w:cs="Georgia" w:eastAsia="Georgia" w:hAnsi="Georgia"/>
          <w:smallCaps/>
          <w:color w:val="5A5A5A"/>
          <w:sz w:val="21"/>
          <w:szCs w:val="21"/>
        </w:rPr>
        <w:t xml:space="preserve">Course-anchored implications</w:t>
      </w:r>
      <w:r>
        <w:rPr>
          <w:rFonts w:ascii="Georgia" w:cs="Georgia" w:eastAsia="Georgia" w:hAnsi="Georgia"/>
        </w:rPr>
        <w:t xml:space="preserve">	</w:t>
      </w:r>
      <w:r>
        <w:rPr>
          <w:rFonts w:ascii="Georgia" w:cs="Georgia" w:eastAsia="Georgia" w:hAnsi="Georgia"/>
          <w:color w:val="5A5A5A"/>
          <w:sz w:val="21"/>
          <w:szCs w:val="21"/>
        </w:rPr>
        <w:t xml:space="preserve">32</w:t>
      </w:r>
    </w:p>
    <w:p>
      <w:pPr>
        <w:tabs>
          <w:tab w:val="right" w:pos="9000" w:leader="dot"/>
        </w:tabs>
        <w:spacing w:after="60" w:before="120"/>
      </w:pPr>
      <w:r>
        <w:rPr>
          <w:rFonts w:ascii="Georgia" w:cs="Georgia" w:eastAsia="Georgia" w:hAnsi="Georgia"/>
          <w:b/>
          <w:bCs/>
          <w:color w:val="140F50"/>
          <w:sz w:val="24"/>
          <w:szCs w:val="24"/>
        </w:rPr>
        <w:t xml:space="preserve">VIII.   </w:t>
      </w:r>
      <w:r>
        <w:rPr>
          <w:rFonts w:ascii="Georgia" w:cs="Georgia" w:eastAsia="Georgia" w:hAnsi="Georgia"/>
          <w:b/>
          <w:bCs/>
          <w:color w:val="140F50"/>
          <w:sz w:val="24"/>
          <w:szCs w:val="24"/>
        </w:rPr>
        <w:t xml:space="preserve">CONCLUSION</w:t>
      </w:r>
      <w:r>
        <w:rPr>
          <w:rFonts w:ascii="Georgia" w:cs="Georgia" w:eastAsia="Georgia" w:hAnsi="Georgia"/>
        </w:rPr>
        <w:t xml:space="preserve">	</w:t>
      </w:r>
      <w:r>
        <w:rPr>
          <w:rFonts w:ascii="Georgia" w:cs="Georgia" w:eastAsia="Georgia" w:hAnsi="Georgia"/>
          <w:b/>
          <w:bCs/>
          <w:color w:val="140F50"/>
          <w:sz w:val="24"/>
          <w:szCs w:val="24"/>
        </w:rPr>
        <w:t xml:space="preserve">35</w:t>
      </w:r>
    </w:p>
    <w:p>
      <w:pPr>
        <w:tabs>
          <w:tab w:val="right" w:pos="9000" w:leader="dot"/>
        </w:tabs>
        <w:spacing w:after="40" w:before="40"/>
        <w:ind w:left="540"/>
      </w:pPr>
      <w:r>
        <w:rPr>
          <w:rFonts w:ascii="Georgia" w:cs="Georgia" w:eastAsia="Georgia" w:hAnsi="Georgia"/>
          <w:smallCaps/>
          <w:color w:val="5A5A5A"/>
          <w:sz w:val="21"/>
          <w:szCs w:val="21"/>
        </w:rPr>
        <w:t xml:space="preserve">1. </w:t>
      </w:r>
      <w:r>
        <w:rPr>
          <w:rFonts w:ascii="Georgia" w:cs="Georgia" w:eastAsia="Georgia" w:hAnsi="Georgia"/>
          <w:smallCaps/>
          <w:color w:val="5A5A5A"/>
          <w:sz w:val="21"/>
          <w:szCs w:val="21"/>
        </w:rPr>
        <w:t xml:space="preserve">Future work</w:t>
      </w:r>
      <w:r>
        <w:rPr>
          <w:rFonts w:ascii="Georgia" w:cs="Georgia" w:eastAsia="Georgia" w:hAnsi="Georgia"/>
        </w:rPr>
        <w:t xml:space="preserve">	</w:t>
      </w:r>
      <w:r>
        <w:rPr>
          <w:rFonts w:ascii="Georgia" w:cs="Georgia" w:eastAsia="Georgia" w:hAnsi="Georgia"/>
          <w:color w:val="5A5A5A"/>
          <w:sz w:val="21"/>
          <w:szCs w:val="21"/>
        </w:rPr>
        <w:t xml:space="preserve">35</w:t>
      </w:r>
    </w:p>
    <w:p>
      <w:pPr>
        <w:tabs>
          <w:tab w:val="right" w:pos="9000" w:leader="dot"/>
        </w:tabs>
        <w:spacing w:after="40" w:before="40"/>
        <w:ind w:left="540"/>
      </w:pPr>
      <w:r>
        <w:rPr>
          <w:rFonts w:ascii="Georgia" w:cs="Georgia" w:eastAsia="Georgia" w:hAnsi="Georgia"/>
          <w:smallCaps/>
          <w:color w:val="5A5A5A"/>
          <w:sz w:val="21"/>
          <w:szCs w:val="21"/>
        </w:rPr>
        <w:t xml:space="preserve">2. </w:t>
      </w:r>
      <w:r>
        <w:rPr>
          <w:rFonts w:ascii="Georgia" w:cs="Georgia" w:eastAsia="Georgia" w:hAnsi="Georgia"/>
          <w:smallCaps/>
          <w:color w:val="5A5A5A"/>
          <w:sz w:val="21"/>
          <w:szCs w:val="21"/>
        </w:rPr>
        <w:t xml:space="preserve">Reflection</w:t>
      </w:r>
      <w:r>
        <w:rPr>
          <w:rFonts w:ascii="Georgia" w:cs="Georgia" w:eastAsia="Georgia" w:hAnsi="Georgia"/>
        </w:rPr>
        <w:t xml:space="preserve">	</w:t>
      </w:r>
      <w:r>
        <w:rPr>
          <w:rFonts w:ascii="Georgia" w:cs="Georgia" w:eastAsia="Georgia" w:hAnsi="Georgia"/>
          <w:color w:val="5A5A5A"/>
          <w:sz w:val="21"/>
          <w:szCs w:val="21"/>
        </w:rPr>
        <w:t xml:space="preserve">36</w:t>
      </w:r>
    </w:p>
    <w:p>
      <w:pPr>
        <w:tabs>
          <w:tab w:val="right" w:pos="9000" w:leader="dot"/>
        </w:tabs>
        <w:spacing w:after="60" w:before="120"/>
      </w:pPr>
      <w:r>
        <w:rPr>
          <w:rFonts w:ascii="Georgia" w:cs="Georgia" w:eastAsia="Georgia" w:hAnsi="Georgia"/>
          <w:b/>
          <w:bCs/>
          <w:color w:val="140F50"/>
          <w:sz w:val="24"/>
          <w:szCs w:val="24"/>
        </w:rPr>
        <w:t xml:space="preserve">IX.   </w:t>
      </w:r>
      <w:r>
        <w:rPr>
          <w:rFonts w:ascii="Georgia" w:cs="Georgia" w:eastAsia="Georgia" w:hAnsi="Georgia"/>
          <w:b/>
          <w:bCs/>
          <w:color w:val="140F50"/>
          <w:sz w:val="24"/>
          <w:szCs w:val="24"/>
        </w:rPr>
        <w:t xml:space="preserve">REFERENCES</w:t>
      </w:r>
      <w:r>
        <w:rPr>
          <w:rFonts w:ascii="Georgia" w:cs="Georgia" w:eastAsia="Georgia" w:hAnsi="Georgia"/>
        </w:rPr>
        <w:t xml:space="preserve">	</w:t>
      </w:r>
      <w:r>
        <w:rPr>
          <w:rFonts w:ascii="Georgia" w:cs="Georgia" w:eastAsia="Georgia" w:hAnsi="Georgia"/>
          <w:b/>
          <w:bCs/>
          <w:color w:val="140F50"/>
          <w:sz w:val="24"/>
          <w:szCs w:val="24"/>
        </w:rPr>
        <w:t xml:space="preserve">37</w:t>
      </w:r>
    </w:p>
    <w:p>
      <w:pPr>
        <w:tabs>
          <w:tab w:val="right" w:pos="9000" w:leader="dot"/>
        </w:tabs>
        <w:spacing w:after="60" w:before="120"/>
      </w:pPr>
      <w:r>
        <w:rPr>
          <w:rFonts w:ascii="Georgia" w:cs="Georgia" w:eastAsia="Georgia" w:hAnsi="Georgia"/>
          <w:b/>
          <w:bCs/>
          <w:color w:val="140F50"/>
          <w:sz w:val="24"/>
          <w:szCs w:val="24"/>
        </w:rPr>
        <w:t xml:space="preserve">X.   </w:t>
      </w:r>
      <w:r>
        <w:rPr>
          <w:rFonts w:ascii="Georgia" w:cs="Georgia" w:eastAsia="Georgia" w:hAnsi="Georgia"/>
          <w:b/>
          <w:bCs/>
          <w:color w:val="140F50"/>
          <w:sz w:val="24"/>
          <w:szCs w:val="24"/>
        </w:rPr>
        <w:t xml:space="preserve">APPENDIX A — REPRODUCTION LOG</w:t>
      </w:r>
      <w:r>
        <w:rPr>
          <w:rFonts w:ascii="Georgia" w:cs="Georgia" w:eastAsia="Georgia" w:hAnsi="Georgia"/>
        </w:rPr>
        <w:t xml:space="preserve">	</w:t>
      </w:r>
      <w:r>
        <w:rPr>
          <w:rFonts w:ascii="Georgia" w:cs="Georgia" w:eastAsia="Georgia" w:hAnsi="Georgia"/>
          <w:b/>
          <w:bCs/>
          <w:color w:val="140F50"/>
          <w:sz w:val="24"/>
          <w:szCs w:val="24"/>
        </w:rPr>
        <w:t xml:space="preserve">38</w:t>
      </w:r>
    </w:p>
    <w:p>
      <w:r>
        <w:br w:type="page"/>
      </w:r>
    </w:p>
    <w:p>
      <w:pPr>
        <w:pStyle w:val="Heading1"/>
        <w:pBdr>
          <w:bottom w:val="single" w:color="140F50" w:sz="6" w:space="4"/>
        </w:pBdr>
        <w:spacing w:after="240" w:before="480"/>
      </w:pPr>
      <w:r>
        <w:rPr>
          <w:rFonts w:ascii="Georgia" w:cs="Georgia" w:eastAsia="Georgia" w:hAnsi="Georgia"/>
          <w:b/>
          <w:bCs/>
          <w:color w:val="140F50"/>
          <w:sz w:val="32"/>
          <w:szCs w:val="32"/>
        </w:rPr>
        <w:t xml:space="preserve">I.    </w:t>
      </w:r>
      <w:r>
        <w:rPr>
          <w:rFonts w:ascii="Georgia" w:cs="Georgia" w:eastAsia="Georgia" w:hAnsi="Georgia"/>
          <w:b/>
          <w:bCs/>
          <w:color w:val="140F50"/>
          <w:sz w:val="32"/>
          <w:szCs w:val="32"/>
        </w:rPr>
        <w:t xml:space="preserve">Executive Summary</w:t>
      </w:r>
    </w:p>
    <w:p>
      <w:pPr>
        <w:spacing w:after="160" w:line="320"/>
        <w:jc w:val="both"/>
      </w:pPr>
      <w:r>
        <w:rPr>
          <w:rFonts w:ascii="Georgia" w:cs="Georgia" w:eastAsia="Georgia" w:hAnsi="Georgia"/>
          <w:color w:val="5A5A5A"/>
          <w:sz w:val="22"/>
          <w:szCs w:val="22"/>
        </w:rPr>
        <w:t xml:space="preserve">This report critically analyses Virkud et al.'s 2024 USENIX Security paper “How does Endpoint Detection use the MITRE ATT&amp;CK Framework?”, evaluates the publicly-released artifact for reproducibility, reproduces the paper's main quantitative and qualitative findings, and extends the analysis with a fifth ruleset that the original work omitted: Microsoft Sentinel. The work positions itself within the foundational frameworks taught in INFO 5001, including MITRE ATT&amp;CK, the Unified Kill Chain, cyber threat intelligence, defence-in-depth, and ISO 27001, framing the paper's critique of ATT&amp;CK-as-security-metric in relation to those frameworks.</w:t>
      </w:r>
    </w:p>
    <w:p>
      <w:pPr>
        <w:spacing w:after="160" w:line="320"/>
        <w:jc w:val="both"/>
      </w:pPr>
      <w:r>
        <w:rPr>
          <w:rFonts w:ascii="Georgia" w:cs="Georgia" w:eastAsia="Georgia" w:hAnsi="Georgia"/>
          <w:color w:val="5A5A5A"/>
          <w:sz w:val="22"/>
          <w:szCs w:val="22"/>
        </w:rPr>
        <w:t xml:space="preserve">This critique identifies twelve strengths and seventeen weaknesses, anchoring several of the identified gaps directly to course frameworks (the Unified Kill Chain, the ACSC Essential Eight, ISO 27001's checkbox-compliance failure mode) that the original authors did not invoke. The artifact evaluation walks through twenty-seven documented reproduction events, including five distinct version-drift workarounds (NumPy 2.0, pandas 3.0, Linux-only CUDA dependencies, NLTK 3.9 tokenizer rename, and a circular import in the artifact's Jupyter notebook structure) that were resolved without dropping back to the original Python 3.8.10 environment. All headline findings of the paper, including coverage by tactic, technique-density distributions, Spearman rank correlations, and the four qualitative case studies on labelling inconsistency, were reproduced and match the paper's reported values to three decimal places.</w:t>
      </w:r>
    </w:p>
    <w:p>
      <w:pPr>
        <w:spacing w:after="160" w:line="320"/>
        <w:jc w:val="both"/>
      </w:pPr>
      <w:r>
        <w:rPr>
          <w:rFonts w:ascii="Georgia" w:cs="Georgia" w:eastAsia="Georgia" w:hAnsi="Georgia"/>
          <w:color w:val="5A5A5A"/>
          <w:sz w:val="22"/>
          <w:szCs w:val="22"/>
        </w:rPr>
        <w:t xml:space="preserve">The improvement extends the analysis by adding Microsoft Sentinel as a fifth ruleset, applying the same filtering methodology the original authors used for Splunk and Elastic. Sentinel is the largest cloud-native SIEM by deployment share, was publicly available at the time of Virkud et al.'s data collection, and is absent from the original paper. Adding Sentinel surfaces three converging findings:</w:t>
      </w:r>
    </w:p>
    <w:p>
      <w:pPr>
        <w:pStyle w:val="ListParagraph"/>
        <w:numPr>
          <w:ilvl w:val="0"/>
          <w:numId w:val="2"/>
        </w:numPr>
        <w:spacing w:after="120" w:line="300"/>
        <w:jc w:val="both"/>
      </w:pPr>
      <w:r>
        <w:rPr>
          <w:rFonts w:ascii="Georgia" w:cs="Georgia" w:eastAsia="Georgia" w:hAnsi="Georgia"/>
          <w:color w:val="5A5A5A"/>
          <w:sz w:val="22"/>
          <w:szCs w:val="22"/>
        </w:rPr>
        <w:t xml:space="preserve">Sentinel covers 41.4% of ATT&amp;CK v11, below but adjacent to the commercial range Virkud et al. report (48–55%), extending the range to “41–55%” when cloud-native SIEMs are included.</w:t>
      </w:r>
    </w:p>
    <w:p>
      <w:pPr>
        <w:pStyle w:val="ListParagraph"/>
        <w:numPr>
          <w:ilvl w:val="0"/>
          <w:numId w:val="2"/>
        </w:numPr>
        <w:spacing w:after="120" w:line="300"/>
        <w:jc w:val="both"/>
      </w:pPr>
      <w:r>
        <w:rPr>
          <w:rFonts w:ascii="Georgia" w:cs="Georgia" w:eastAsia="Georgia" w:hAnsi="Georgia"/>
          <w:color w:val="5A5A5A"/>
          <w:sz w:val="22"/>
          <w:szCs w:val="22"/>
        </w:rPr>
        <w:t xml:space="preserve">A pre-registered hypothesis that Sentinel would over-cover cloud and identity techniques and under-cover host-only techniques is strongly confirmed: Sentinel has 2–6 times more rules for T1078 (Valid Accounts), T1098 (Account Manipulation), and T1110 (Brute Force / Password Spraying) than the on-host EDR products, but 5–26 times fewer rules for T1547 (Boot or Logon Autostart), T1543 (Create or Modify System Process), and T1055 (Process Injection).</w:t>
      </w:r>
    </w:p>
    <w:p>
      <w:pPr>
        <w:pStyle w:val="ListParagraph"/>
        <w:numPr>
          <w:ilvl w:val="0"/>
          <w:numId w:val="2"/>
        </w:numPr>
        <w:spacing w:after="120" w:line="300"/>
        <w:jc w:val="both"/>
      </w:pPr>
      <w:r>
        <w:rPr>
          <w:rFonts w:ascii="Georgia" w:cs="Georgia" w:eastAsia="Georgia" w:hAnsi="Georgia"/>
          <w:color w:val="5A5A5A"/>
          <w:sz w:val="22"/>
          <w:szCs w:val="22"/>
        </w:rPr>
        <w:t xml:space="preserve">Spearman rank correlations between Sentinel and each of Virkud et al.'s rulesets fall in the range ρ = 0.39–0.50 (all p &lt; 0.001), substantially below the within-paper range of ρ = 0.64–0.76. The drop in rank correlation quantifies what the hypothesis test shows qualitatively: Sentinel does not just have different volumes of rules per technique. It has a structurally different ordering of which techniques it prioritises.</w:t>
      </w:r>
    </w:p>
    <w:p>
      <w:pPr>
        <w:spacing w:after="160" w:line="320"/>
        <w:jc w:val="both"/>
      </w:pPr>
      <w:r>
        <w:rPr>
          <w:rFonts w:ascii="Georgia" w:cs="Georgia" w:eastAsia="Georgia" w:hAnsi="Georgia"/>
          <w:color w:val="5A5A5A"/>
          <w:sz w:val="22"/>
          <w:szCs w:val="22"/>
        </w:rPr>
        <w:t xml:space="preserve">Ultimately, these findings expose a third failure mode in Virkud et al.'s critique of ATT&amp;CK-as-security-metric. The original paper argues the metric fails because (a) the headline coverage figure is inflated by low-severity rules, and (b) different vendors apply different ATT&amp;CK labels to the same threats. This report demonstrates a third failure mode: (c) ATT&amp;CK coverage is partly an artefact of telemetry architecture, not just detection effort. A cloud-native SIEM and an on-host EDR cannot meaningfully be compared on technique coverage because they have access to fundamentally different log sources. The implication for security procurement, cyber insurance, and the threat-informed defence movement is that ATT&amp;CK coverage scores are not commensurable across architectural categories, and any comparative use of the metric requires explicit normalisation by data source.</w:t>
      </w:r>
    </w:p>
    <w:p>
      <w:pPr>
        <w:spacing w:after="160" w:line="320"/>
        <w:jc w:val="both"/>
      </w:pPr>
      <w:r>
        <w:rPr>
          <w:rFonts w:ascii="Georgia" w:cs="Georgia" w:eastAsia="Georgia" w:hAnsi="Georgia"/>
          <w:color w:val="5A5A5A"/>
          <w:sz w:val="22"/>
          <w:szCs w:val="22"/>
        </w:rPr>
        <w:t xml:space="preserve">The artifact-evaluation phase achieved cross-platform reproduction on Windows 11 with Python 3.11.9, a deviation from the artifact authors' Linux / Python 3.8.10 environment that was adopted deliberately to surface and document the dependency drift that arises when reproducing security-research artifacts more than 18 months after publication. This deviation is itself a secondary contribution of the present work: it produces a record of the workarounds required for non-Linux researchers attempting to reproduce the artifact, which is information the original supplementary materials do not provide.</w:t>
      </w:r>
    </w:p>
    <w:p>
      <w:r>
        <w:br w:type="page"/>
      </w:r>
    </w:p>
    <w:p>
      <w:pPr>
        <w:pStyle w:val="Heading1"/>
        <w:pBdr>
          <w:bottom w:val="single" w:color="140F50" w:sz="6" w:space="4"/>
        </w:pBdr>
        <w:spacing w:after="240" w:before="480"/>
      </w:pPr>
      <w:r>
        <w:rPr>
          <w:rFonts w:ascii="Georgia" w:cs="Georgia" w:eastAsia="Georgia" w:hAnsi="Georgia"/>
          <w:b/>
          <w:bCs/>
          <w:color w:val="140F50"/>
          <w:sz w:val="32"/>
          <w:szCs w:val="32"/>
        </w:rPr>
        <w:t xml:space="preserve">II.    </w:t>
      </w:r>
      <w:r>
        <w:rPr>
          <w:rFonts w:ascii="Georgia" w:cs="Georgia" w:eastAsia="Georgia" w:hAnsi="Georgia"/>
          <w:b/>
          <w:bCs/>
          <w:color w:val="140F50"/>
          <w:sz w:val="32"/>
          <w:szCs w:val="32"/>
        </w:rPr>
        <w:t xml:space="preserve">Introduction</w:t>
      </w:r>
    </w:p>
    <w:p>
      <w:pPr>
        <w:pStyle w:val="Heading2"/>
        <w:spacing w:after="160" w:before="280"/>
      </w:pPr>
      <w:r>
        <w:rPr>
          <w:rFonts w:ascii="Georgia" w:cs="Georgia" w:eastAsia="Georgia" w:hAnsi="Georgia"/>
          <w:b/>
          <w:bCs/>
          <w:color w:val="140F50"/>
          <w:sz w:val="24"/>
          <w:szCs w:val="24"/>
          <w:u w:val="single"/>
        </w:rPr>
        <w:t xml:space="preserve">1. </w:t>
      </w:r>
      <w:r>
        <w:rPr>
          <w:rFonts w:ascii="Georgia" w:cs="Georgia" w:eastAsia="Georgia" w:hAnsi="Georgia"/>
          <w:b/>
          <w:bCs/>
          <w:color w:val="140F50"/>
          <w:sz w:val="24"/>
          <w:szCs w:val="24"/>
          <w:u w:val="single"/>
        </w:rPr>
        <w:t xml:space="preserve">The MITRE ATT&amp;CK Framework as Industry Currency</w:t>
      </w:r>
    </w:p>
    <w:p>
      <w:pPr>
        <w:spacing w:after="160" w:line="320"/>
        <w:jc w:val="both"/>
      </w:pPr>
      <w:r>
        <w:rPr>
          <w:rFonts w:ascii="Georgia" w:cs="Georgia" w:eastAsia="Georgia" w:hAnsi="Georgia"/>
          <w:color w:val="5A5A5A"/>
          <w:sz w:val="22"/>
          <w:szCs w:val="22"/>
        </w:rPr>
        <w:t xml:space="preserve">The MITRE ATT&amp;CK framework was introduced in 2013 to describe and categorise adversarial behaviours based on real-world observations, organising them into a matrix of fourteen tactics representing the “why” of an attack and 191 parent techniques (in Version 11, after sub-technique flattening) representing the “how” (MITRE Corporation, 2022). The framework was developed to enable threat-informed defence, the practice of aligning defensive capability investment with the techniques observed in actual attacker behaviour. In the decade since its introduction, ATT&amp;CK has been adopted by endpoint detection and response (EDR) vendors, Security Information and Event Management (SIEM) platforms, cyber threat intelligence (CTI) feeds, the cyber insurance industry, and most recently by procurement frameworks that use ATT&amp;CK technique coverage as a security-posture metric.</w:t>
      </w:r>
    </w:p>
    <w:p>
      <w:pPr>
        <w:spacing w:after="160" w:line="320"/>
        <w:jc w:val="both"/>
      </w:pPr>
      <w:r>
        <w:rPr>
          <w:rFonts w:ascii="Georgia" w:cs="Georgia" w:eastAsia="Georgia" w:hAnsi="Georgia"/>
          <w:color w:val="5A5A5A"/>
          <w:sz w:val="22"/>
          <w:szCs w:val="22"/>
        </w:rPr>
        <w:t xml:space="preserve">This adoption has produced an emerging industry currency. Detection vendors advertise the percentage of ATT&amp;CK techniques their product covers; cyber insurers reference ATT&amp;CK coverage in underwriting; and security teams use ATT&amp;CK Navigator overlays to justify capability gaps to executive leadership. The implicit assumption is that ATT&amp;CK coverage is a comparable, commensurable measurement that meaningfully reflects an organisation's ability to detect adversarial behaviour.</w:t>
      </w:r>
    </w:p>
    <w:p>
      <w:pPr>
        <w:spacing w:after="160" w:line="320"/>
        <w:jc w:val="both"/>
      </w:pPr>
      <w:r>
        <w:rPr>
          <w:rFonts w:ascii="Georgia" w:cs="Georgia" w:eastAsia="Georgia" w:hAnsi="Georgia"/>
          <w:color w:val="5A5A5A"/>
          <w:sz w:val="22"/>
          <w:szCs w:val="22"/>
        </w:rPr>
        <w:t xml:space="preserve">Virkud et al. challenge that assumption. Their 2024 USENIX Security paper conducts the first systematic empirical analysis of how four widely-deployed endpoint detection rulesets, Carbon Black, Splunk, Elastic, and the crowdsourced Sigma project, use the MITRE ATT&amp;CK framework. By examining 4,446 ATT&amp;CK-tagged rules across these rulesets in a snapshot taken October 2022, they demonstrate that ATT&amp;CK technique coverage as a security metric is inflated, structurally bounded, and inconsistent across vendors.</w:t>
      </w:r>
    </w:p>
    <w:p>
      <w:pPr>
        <w:pStyle w:val="Heading2"/>
        <w:spacing w:after="160" w:before="280"/>
      </w:pPr>
      <w:r>
        <w:rPr>
          <w:rFonts w:ascii="Georgia" w:cs="Georgia" w:eastAsia="Georgia" w:hAnsi="Georgia"/>
          <w:b/>
          <w:bCs/>
          <w:color w:val="140F50"/>
          <w:sz w:val="24"/>
          <w:szCs w:val="24"/>
          <w:u w:val="single"/>
        </w:rPr>
        <w:t xml:space="preserve">2. </w:t>
      </w:r>
      <w:r>
        <w:rPr>
          <w:rFonts w:ascii="Georgia" w:cs="Georgia" w:eastAsia="Georgia" w:hAnsi="Georgia"/>
          <w:b/>
          <w:bCs/>
          <w:color w:val="140F50"/>
          <w:sz w:val="24"/>
          <w:szCs w:val="24"/>
          <w:u w:val="single"/>
        </w:rPr>
        <w:t xml:space="preserve">Course Context</w:t>
      </w:r>
    </w:p>
    <w:p>
      <w:pPr>
        <w:spacing w:after="160" w:line="320"/>
        <w:jc w:val="both"/>
      </w:pPr>
      <w:r>
        <w:rPr>
          <w:rFonts w:ascii="Georgia" w:cs="Georgia" w:eastAsia="Georgia" w:hAnsi="Georgia"/>
          <w:color w:val="5A5A5A"/>
          <w:sz w:val="22"/>
          <w:szCs w:val="22"/>
        </w:rPr>
        <w:t xml:space="preserve">The MITRE ATT&amp;CK framework is introduced in Module 1, Topic 3 of INFO 5001 as part of the unit's coverage of cybersecurity attack lifecycles and motivations. The course presents ATT&amp;CK alongside Lockheed Martin's Cyber Kill Chain (Hutchins et al., 2011) and the Unified Kill Chain (Pols, 2021), framing it as a knowledge base of adversary tactics and techniques where “tactics represent the why” and “techniques represent how an adversary achieves a tactical objective.” Threat-based defence is described in the course materials as the practice of mapping an organisation's “defensive tools and capabilities across the cyber attack lifecycle, [revealing] opportunity gaps as investment needs.”</w:t>
      </w:r>
    </w:p>
    <w:p>
      <w:pPr>
        <w:spacing w:after="160" w:line="320"/>
        <w:jc w:val="both"/>
      </w:pPr>
      <w:r>
        <w:rPr>
          <w:rFonts w:ascii="Georgia" w:cs="Georgia" w:eastAsia="Georgia" w:hAnsi="Georgia"/>
          <w:color w:val="5A5A5A"/>
          <w:sz w:val="22"/>
          <w:szCs w:val="22"/>
        </w:rPr>
        <w:t xml:space="preserve">Endpoint detection sits inside the defence-in-depth model taught in Module 3, Topic 9, where it is presented as one layer of a multi-layer defensive strategy alongside perimeter security, network segmentation, monitoring and incident response, and user education. The course materials explicitly flag a limitation of endpoint-focused security: “Device Dependency: If the device is compromised, its own security may be bypassed.” This caveat is directly relevant to the present analysis, because Virkud et al.'s entire scope is endpoint detection. They evaluate the rulesets of EDR and SIEM products that ingest endpoint telemetry. Any conclusions about ATT&amp;CK coverage in their paper are bounded by that architectural constraint.</w:t>
      </w:r>
    </w:p>
    <w:p>
      <w:pPr>
        <w:spacing w:after="160" w:line="320"/>
        <w:jc w:val="both"/>
      </w:pPr>
      <w:r>
        <w:rPr>
          <w:rFonts w:ascii="Georgia" w:cs="Georgia" w:eastAsia="Georgia" w:hAnsi="Georgia"/>
          <w:color w:val="5A5A5A"/>
          <w:sz w:val="22"/>
          <w:szCs w:val="22"/>
        </w:rPr>
        <w:t xml:space="preserve">The Module 2 Topic 4 case study on the 2023–2024 Microsoft cyberattack by the Nobelium / Midnight Blizzard threat group provides a concrete real-world example that intersects directly with Virkud et al.'s analysis. Nobelium is one of nine “malicious entities” the paper identifies as being explicitly detected by all three commercial products in its Figure 5. The attack employed password spraying (T1110.003) and valid-account abuse (T1078) to compromise legacy non-production tenant accounts at Microsoft, both techniques that the present report's Sentinel extension will show are heavily over-represented in Microsoft's own SIEM ruleset and under-represented in the on-host EDR products in the original paper.</w:t>
      </w:r>
    </w:p>
    <w:p>
      <w:pPr>
        <w:pStyle w:val="Heading2"/>
        <w:spacing w:after="160" w:before="280"/>
      </w:pPr>
      <w:r>
        <w:rPr>
          <w:rFonts w:ascii="Georgia" w:cs="Georgia" w:eastAsia="Georgia" w:hAnsi="Georgia"/>
          <w:b/>
          <w:bCs/>
          <w:color w:val="140F50"/>
          <w:sz w:val="24"/>
          <w:szCs w:val="24"/>
          <w:u w:val="single"/>
        </w:rPr>
        <w:t xml:space="preserve">3. </w:t>
      </w:r>
      <w:r>
        <w:rPr>
          <w:rFonts w:ascii="Georgia" w:cs="Georgia" w:eastAsia="Georgia" w:hAnsi="Georgia"/>
          <w:b/>
          <w:bCs/>
          <w:color w:val="140F50"/>
          <w:sz w:val="24"/>
          <w:szCs w:val="24"/>
          <w:u w:val="single"/>
        </w:rPr>
        <w:t xml:space="preserve">Scope and Contributions of This Report</w:t>
      </w:r>
    </w:p>
    <w:p>
      <w:pPr>
        <w:spacing w:after="160" w:line="320"/>
        <w:jc w:val="both"/>
      </w:pPr>
      <w:r>
        <w:rPr>
          <w:rFonts w:ascii="Georgia" w:cs="Georgia" w:eastAsia="Georgia" w:hAnsi="Georgia"/>
          <w:color w:val="5A5A5A"/>
          <w:sz w:val="22"/>
          <w:szCs w:val="22"/>
        </w:rPr>
        <w:t xml:space="preserve">The report contributes the following to the existing literature on ATT&amp;CK as a security metric:</w:t>
      </w:r>
    </w:p>
    <w:p>
      <w:pPr>
        <w:pStyle w:val="ListParagraph"/>
        <w:numPr>
          <w:ilvl w:val="0"/>
          <w:numId w:val="2"/>
        </w:numPr>
        <w:spacing w:after="120" w:line="300"/>
        <w:jc w:val="both"/>
      </w:pPr>
      <w:r>
        <w:rPr>
          <w:rFonts w:ascii="Georgia" w:cs="Georgia" w:eastAsia="Georgia" w:hAnsi="Georgia"/>
          <w:color w:val="5A5A5A"/>
          <w:sz w:val="22"/>
          <w:szCs w:val="22"/>
        </w:rPr>
        <w:t xml:space="preserve">A critical analysis of Virkud et al.'s paper structured around the cyber threat intelligence layers introduced in Module 2 (tactical, operational, strategic), identifying twelve strengths and seventeen weaknesses, with course-anchored framing where relevant.</w:t>
      </w:r>
    </w:p>
    <w:p>
      <w:pPr>
        <w:pStyle w:val="ListParagraph"/>
        <w:numPr>
          <w:ilvl w:val="0"/>
          <w:numId w:val="2"/>
        </w:numPr>
        <w:spacing w:after="120" w:line="300"/>
        <w:jc w:val="both"/>
      </w:pPr>
      <w:r>
        <w:rPr>
          <w:rFonts w:ascii="Georgia" w:cs="Georgia" w:eastAsia="Georgia" w:hAnsi="Georgia"/>
          <w:color w:val="5A5A5A"/>
          <w:sz w:val="22"/>
          <w:szCs w:val="22"/>
        </w:rPr>
        <w:t xml:space="preserve">A complete reproduction of the paper's main findings (RQ1 coverage analyses and RQ3 case studies of labelling inconsistency) on a Windows / Python 3.11 environment that differs from the artifact authors' Linux / Python 3.8 environment. Twenty-seven distinct reproduction events are documented, including five major version-drift workarounds.</w:t>
      </w:r>
    </w:p>
    <w:p>
      <w:pPr>
        <w:pStyle w:val="ListParagraph"/>
        <w:numPr>
          <w:ilvl w:val="0"/>
          <w:numId w:val="2"/>
        </w:numPr>
        <w:spacing w:after="120" w:line="300"/>
        <w:jc w:val="both"/>
      </w:pPr>
      <w:r>
        <w:rPr>
          <w:rFonts w:ascii="Georgia" w:cs="Georgia" w:eastAsia="Georgia" w:hAnsi="Georgia"/>
          <w:color w:val="5A5A5A"/>
          <w:sz w:val="22"/>
          <w:szCs w:val="22"/>
        </w:rPr>
        <w:t xml:space="preserve">A novel extension that adds Microsoft Sentinel as a fifth ruleset to the original four. Sentinel is the largest cloud-native SIEM by deployment share, was publicly available at the time of the paper's data collection, and is absent from the original work.</w:t>
      </w:r>
    </w:p>
    <w:p>
      <w:pPr>
        <w:pStyle w:val="ListParagraph"/>
        <w:numPr>
          <w:ilvl w:val="0"/>
          <w:numId w:val="2"/>
        </w:numPr>
        <w:spacing w:after="120" w:line="300"/>
        <w:jc w:val="both"/>
      </w:pPr>
      <w:r>
        <w:rPr>
          <w:rFonts w:ascii="Georgia" w:cs="Georgia" w:eastAsia="Georgia" w:hAnsi="Georgia"/>
          <w:color w:val="5A5A5A"/>
          <w:sz w:val="22"/>
          <w:szCs w:val="22"/>
        </w:rPr>
        <w:t xml:space="preserve">A pre-registered hypothesis test confirming that Sentinel over-covers cloud and identity techniques (T1078, T1098, T1110) and under-covers host-only techniques (T1547, T1543, T1574, T1055) compared to the on-host EDR products in the original paper.</w:t>
      </w:r>
    </w:p>
    <w:p>
      <w:pPr>
        <w:pStyle w:val="ListParagraph"/>
        <w:numPr>
          <w:ilvl w:val="0"/>
          <w:numId w:val="2"/>
        </w:numPr>
        <w:spacing w:after="120" w:line="300"/>
        <w:jc w:val="both"/>
      </w:pPr>
      <w:r>
        <w:rPr>
          <w:rFonts w:ascii="Georgia" w:cs="Georgia" w:eastAsia="Georgia" w:hAnsi="Georgia"/>
          <w:color w:val="5A5A5A"/>
          <w:sz w:val="22"/>
          <w:szCs w:val="22"/>
        </w:rPr>
        <w:t xml:space="preserve">A novel Spearman rank correlation analysis quantifying the technique-priority divergence between Sentinel and the original four rulesets (ρ = 0.39–0.50, all p &lt; 0.001), substantially below the within-paper range of ρ = 0.64–0.76.</w:t>
      </w:r>
    </w:p>
    <w:p>
      <w:pPr>
        <w:pStyle w:val="ListParagraph"/>
        <w:numPr>
          <w:ilvl w:val="0"/>
          <w:numId w:val="2"/>
        </w:numPr>
        <w:spacing w:after="120" w:line="300"/>
        <w:jc w:val="both"/>
      </w:pPr>
      <w:r>
        <w:rPr>
          <w:rFonts w:ascii="Georgia" w:cs="Georgia" w:eastAsia="Georgia" w:hAnsi="Georgia"/>
          <w:color w:val="5A5A5A"/>
          <w:sz w:val="22"/>
          <w:szCs w:val="22"/>
        </w:rPr>
        <w:t xml:space="preserve">An interpretive contribution that adds a third failure mode to Virkud et al.'s critique of ATT&amp;CK-as-security-metric: ATT&amp;CK coverage is partly an artefact of telemetry architecture, not just detection effort, and is therefore not commensurable across architectural categories.</w:t>
      </w:r>
    </w:p>
    <w:p>
      <w:pPr>
        <w:pStyle w:val="Heading2"/>
        <w:spacing w:after="160" w:before="280"/>
      </w:pPr>
      <w:r>
        <w:rPr>
          <w:rFonts w:ascii="Georgia" w:cs="Georgia" w:eastAsia="Georgia" w:hAnsi="Georgia"/>
          <w:b/>
          <w:bCs/>
          <w:color w:val="140F50"/>
          <w:sz w:val="24"/>
          <w:szCs w:val="24"/>
          <w:u w:val="single"/>
        </w:rPr>
        <w:t xml:space="preserve">4. </w:t>
      </w:r>
      <w:r>
        <w:rPr>
          <w:rFonts w:ascii="Georgia" w:cs="Georgia" w:eastAsia="Georgia" w:hAnsi="Georgia"/>
          <w:b/>
          <w:bCs/>
          <w:color w:val="140F50"/>
          <w:sz w:val="24"/>
          <w:szCs w:val="24"/>
          <w:u w:val="single"/>
        </w:rPr>
        <w:t xml:space="preserve">Report Structure</w:t>
      </w:r>
    </w:p>
    <w:p>
      <w:pPr>
        <w:spacing w:after="160" w:line="320"/>
        <w:jc w:val="both"/>
      </w:pPr>
      <w:r>
        <w:rPr>
          <w:rFonts w:ascii="Georgia" w:cs="Georgia" w:eastAsia="Georgia" w:hAnsi="Georgia"/>
          <w:color w:val="5A5A5A"/>
          <w:sz w:val="22"/>
          <w:szCs w:val="22"/>
        </w:rPr>
        <w:t xml:space="preserve">Section III provides a four-sentence summary of the paper as required by the assignment rubric. Section IV conducts the critical analysis, structured around the CTI tactical/operational/strategic framework. Section V evaluates the artifact across the five rubric criteria (Documented, Consistent, Complete, Exercisable, Results Reproduced) with reference to the twenty-seven-entry reproduction log. Section VI presents the Microsoft Sentinel extension, including methodology, implementation, and the three converging findings. Section VII discusses implications for ATT&amp;CK-as-security-metric and connects them back to course frameworks. Section VIII concludes and identifies directions for future work.</w:t>
      </w:r>
    </w:p>
    <w:p>
      <w:r>
        <w:br w:type="page"/>
      </w:r>
    </w:p>
    <w:p>
      <w:pPr>
        <w:pStyle w:val="Heading1"/>
        <w:pBdr>
          <w:bottom w:val="single" w:color="140F50" w:sz="6" w:space="4"/>
        </w:pBdr>
        <w:spacing w:after="240" w:before="480"/>
      </w:pPr>
      <w:r>
        <w:rPr>
          <w:rFonts w:ascii="Georgia" w:cs="Georgia" w:eastAsia="Georgia" w:hAnsi="Georgia"/>
          <w:b/>
          <w:bCs/>
          <w:color w:val="140F50"/>
          <w:sz w:val="32"/>
          <w:szCs w:val="32"/>
        </w:rPr>
        <w:t xml:space="preserve">III.    </w:t>
      </w:r>
      <w:r>
        <w:rPr>
          <w:rFonts w:ascii="Georgia" w:cs="Georgia" w:eastAsia="Georgia" w:hAnsi="Georgia"/>
          <w:b/>
          <w:bCs/>
          <w:color w:val="140F50"/>
          <w:sz w:val="32"/>
          <w:szCs w:val="32"/>
        </w:rPr>
        <w:t xml:space="preserve">Paper Summary</w:t>
      </w:r>
    </w:p>
    <w:p>
      <w:pPr>
        <w:spacing w:after="160" w:line="320"/>
        <w:jc w:val="both"/>
      </w:pPr>
      <w:r>
        <w:rPr>
          <w:rFonts w:ascii="Georgia" w:cs="Georgia" w:eastAsia="Georgia" w:hAnsi="Georgia"/>
          <w:color w:val="5A5A5A"/>
          <w:sz w:val="22"/>
          <w:szCs w:val="22"/>
        </w:rPr>
        <w:t xml:space="preserve">Virkud et al. conduct the first systematic empirical analysis of how four widely-deployed endpoint detection rulesets, Carbon Black, Splunk, Elastic, and the crowdsourced Sigma, use the MITRE ATT&amp;CK framework, asking whether ATT&amp;CK technique coverage is a sound metric of security posture. Using an October 2022 snapshot of 867 / 911 / 473 / 2,195 ATT&amp;CK-tagged rules respectively (4,446 rules in total), they find that commercial coverage sits at 48–55% but collapses to 25–26% once low-risk and low-severity rules are filtered out; that 53 ATT&amp;CK techniques (27.7%) are unimplemented by any commercial product for characterisable structural reasons (off-host targets, provenance requirements, hardware-level techniques, human-factor techniques); and that products targeting the same 37 malicious entities agree on only 12.5% of their ATT&amp;CK technique annotations. The paper concludes that ATT&amp;CK technique coverage, as marketed by vendors and increasingly used in cyber insurance and procurement, is an inflated, structurally-bounded, and inconsistent measure of security efficacy. The paper analyses signature-based detection rulesets exclusively, one of the three IDS/IPS detection methodologies introduced in Module 1, Topic 1 (alongside anomaly-based detection and stateful protocol analysis); the conclusions therefore do not generalise to behavioural or anomaly-based detection products.</w:t>
      </w:r>
    </w:p>
    <w:p>
      <w:r>
        <w:br w:type="page"/>
      </w:r>
    </w:p>
    <w:p>
      <w:pPr>
        <w:pStyle w:val="Heading1"/>
        <w:pBdr>
          <w:bottom w:val="single" w:color="140F50" w:sz="6" w:space="4"/>
        </w:pBdr>
        <w:spacing w:after="240" w:before="480"/>
      </w:pPr>
      <w:r>
        <w:rPr>
          <w:rFonts w:ascii="Georgia" w:cs="Georgia" w:eastAsia="Georgia" w:hAnsi="Georgia"/>
          <w:b/>
          <w:bCs/>
          <w:color w:val="140F50"/>
          <w:sz w:val="32"/>
          <w:szCs w:val="32"/>
        </w:rPr>
        <w:t xml:space="preserve">IV.    </w:t>
      </w:r>
      <w:r>
        <w:rPr>
          <w:rFonts w:ascii="Georgia" w:cs="Georgia" w:eastAsia="Georgia" w:hAnsi="Georgia"/>
          <w:b/>
          <w:bCs/>
          <w:color w:val="140F50"/>
          <w:sz w:val="32"/>
          <w:szCs w:val="32"/>
        </w:rPr>
        <w:t xml:space="preserve">Critical Analysis</w:t>
      </w:r>
    </w:p>
    <w:p>
      <w:pPr>
        <w:spacing w:after="160" w:line="320"/>
        <w:jc w:val="both"/>
      </w:pPr>
      <w:r>
        <w:rPr>
          <w:rFonts w:ascii="Georgia" w:cs="Georgia" w:eastAsia="Georgia" w:hAnsi="Georgia"/>
          <w:color w:val="5A5A5A"/>
          <w:sz w:val="22"/>
          <w:szCs w:val="22"/>
        </w:rPr>
        <w:t xml:space="preserve">This section organises the strengths and weaknesses of Virkud et al. around the three-layer cyber threat intelligence framework introduced in Module 2, Topic 4 of INFO 5001: tactical CTI (the specific tools, techniques, and procedures attackers use), operational CTI (specific upcoming threats or ongoing campaigns), and strategic CTI (long-term trends and high-level positioning). Each strength and weakness is tagged with the CTI layer it speaks to, and course-anchored connections are flagged where present.</w:t>
      </w:r>
    </w:p>
    <w:p>
      <w:pPr>
        <w:pStyle w:val="Heading2"/>
        <w:spacing w:after="160" w:before="280"/>
      </w:pPr>
      <w:r>
        <w:rPr>
          <w:rFonts w:ascii="Georgia" w:cs="Georgia" w:eastAsia="Georgia" w:hAnsi="Georgia"/>
          <w:b/>
          <w:bCs/>
          <w:color w:val="140F50"/>
          <w:sz w:val="24"/>
          <w:szCs w:val="24"/>
          <w:u w:val="single"/>
        </w:rPr>
        <w:t xml:space="preserve">1. </w:t>
      </w:r>
      <w:r>
        <w:rPr>
          <w:rFonts w:ascii="Georgia" w:cs="Georgia" w:eastAsia="Georgia" w:hAnsi="Georgia"/>
          <w:b/>
          <w:bCs/>
          <w:color w:val="140F50"/>
          <w:sz w:val="24"/>
          <w:szCs w:val="24"/>
          <w:u w:val="single"/>
        </w:rPr>
        <w:t xml:space="preserve">Strengths</w:t>
      </w:r>
    </w:p>
    <w:p>
      <w:pPr>
        <w:spacing w:after="160" w:line="320"/>
        <w:jc w:val="both"/>
      </w:pPr>
      <w:r>
        <w:rPr>
          <w:rFonts w:ascii="Georgia" w:cs="Georgia" w:eastAsia="Georgia" w:hAnsi="Georgia"/>
          <w:color w:val="5A5A5A"/>
          <w:sz w:val="22"/>
          <w:szCs w:val="22"/>
        </w:rPr>
        <w:t xml:space="preserve">The paper has twelve strengths, ranked here roughly by likely contribution to the overall argument.</w:t>
      </w:r>
    </w:p>
    <w:p>
      <w:pPr>
        <w:pStyle w:val="Heading3"/>
        <w:spacing w:after="100" w:before="220"/>
      </w:pPr>
      <w:r>
        <w:rPr>
          <w:rFonts w:ascii="Georgia" w:cs="Georgia" w:eastAsia="Georgia" w:hAnsi="Georgia"/>
          <w:b/>
          <w:bCs/>
          <w:color w:val="140F50"/>
          <w:sz w:val="22"/>
          <w:szCs w:val="22"/>
        </w:rPr>
        <w:t xml:space="preserve">S1. Novelty and timeliness (Strategic)</w:t>
      </w:r>
    </w:p>
    <w:p>
      <w:pPr>
        <w:spacing w:after="160" w:line="320"/>
        <w:jc w:val="both"/>
      </w:pPr>
      <w:r>
        <w:rPr>
          <w:rFonts w:ascii="Georgia" w:cs="Georgia" w:eastAsia="Georgia" w:hAnsi="Georgia"/>
          <w:color w:val="5A5A5A"/>
          <w:sz w:val="22"/>
          <w:szCs w:val="22"/>
        </w:rPr>
        <w:t xml:space="preserve">The paper presents the first systematic empirical analysis of how EDR / SIEM products use the MITRE ATT&amp;CK framework. Prior work measured individual products' detection performance (Karantzas and Patsakis, 2021, on EDR efficacy) or how researchers use ATT&amp;CK in academic publications (Roy et al., 2023), but no prior work quantified vendor coverage and inter-vendor labelling consistency at the ruleset level. The paper enters a measurement gap that the security industry was already filling with marketing claims and procurement decisions, which makes its critique timely and operationally consequential.</w:t>
      </w:r>
    </w:p>
    <w:p>
      <w:pPr>
        <w:pStyle w:val="Heading3"/>
        <w:spacing w:after="100" w:before="220"/>
      </w:pPr>
      <w:r>
        <w:rPr>
          <w:rFonts w:ascii="Georgia" w:cs="Georgia" w:eastAsia="Georgia" w:hAnsi="Georgia"/>
          <w:b/>
          <w:bCs/>
          <w:color w:val="140F50"/>
          <w:sz w:val="22"/>
          <w:szCs w:val="22"/>
        </w:rPr>
        <w:t xml:space="preserve">S2. Multi-product breadth yields generalisability (Tactical)</w:t>
      </w:r>
    </w:p>
    <w:p>
      <w:pPr>
        <w:spacing w:after="160" w:line="320"/>
        <w:jc w:val="both"/>
      </w:pPr>
      <w:r>
        <w:rPr>
          <w:rFonts w:ascii="Georgia" w:cs="Georgia" w:eastAsia="Georgia" w:hAnsi="Georgia"/>
          <w:color w:val="5A5A5A"/>
          <w:sz w:val="22"/>
          <w:szCs w:val="22"/>
        </w:rPr>
        <w:t xml:space="preserve">Including three major commercial products, each at or near the top of Gartner and Forrester rankings in their respective categories (Mirolyubov et al., 2023; Microsoft Security, 2024), plus a large crowdsourced ruleset gives the analysis breadth that single-product studies lack. The combined dataset of 4,446 ATT&amp;CK-tagged rules cannot be attributed to any single vendor's idiosyncrasies. The Sigma replication in Appendix A serves as a robustness check, and the same trends hold across all four rulesets, strengthening the claim that the observed patterns are properties of ATT&amp;CK-as-metric rather than artefacts of vendor-specific decisions.</w:t>
      </w:r>
    </w:p>
    <w:p>
      <w:pPr>
        <w:pStyle w:val="Heading3"/>
        <w:spacing w:after="100" w:before="220"/>
      </w:pPr>
      <w:r>
        <w:rPr>
          <w:rFonts w:ascii="Georgia" w:cs="Georgia" w:eastAsia="Georgia" w:hAnsi="Georgia"/>
          <w:b/>
          <w:bCs/>
          <w:color w:val="140F50"/>
          <w:sz w:val="22"/>
          <w:szCs w:val="22"/>
        </w:rPr>
        <w:t xml:space="preserve">S3. Three-pronged methodology answers three distinct research questions (Strategic)</w:t>
      </w:r>
    </w:p>
    <w:p>
      <w:pPr>
        <w:spacing w:after="160" w:line="320"/>
        <w:jc w:val="both"/>
      </w:pPr>
      <w:r>
        <w:rPr>
          <w:rFonts w:ascii="Georgia" w:cs="Georgia" w:eastAsia="Georgia" w:hAnsi="Georgia"/>
          <w:color w:val="5A5A5A"/>
          <w:sz w:val="22"/>
          <w:szCs w:val="22"/>
        </w:rPr>
        <w:t xml:space="preserve">The paper organises its analysis around three research questions: how do products use ATT&amp;CK (RQ1, quantitative coverage analysis); why don't products implement all of ATT&amp;CK (RQ2, qualitative open coding of unimplemented techniques); and how consistently is ATT&amp;CK applied across products (RQ3, cross-product labelling consistency analysis). Each research question addresses a distinct failure mode of ATT&amp;CK-as-metric, and the combination is stronger than any single methodology would have been. Each layer surfaces findings the others miss: RQ1 quantifies coverage breadth, RQ2 explains structural ceilings on coverage, and RQ3 demonstrates that even when products do cover the same threat they disagree about what they are covering.</w:t>
      </w:r>
    </w:p>
    <w:p>
      <w:pPr>
        <w:pStyle w:val="Heading3"/>
        <w:spacing w:after="100" w:before="220"/>
      </w:pPr>
      <w:r>
        <w:rPr>
          <w:rFonts w:ascii="Georgia" w:cs="Georgia" w:eastAsia="Georgia" w:hAnsi="Georgia"/>
          <w:b/>
          <w:bCs/>
          <w:color w:val="140F50"/>
          <w:sz w:val="22"/>
          <w:szCs w:val="22"/>
        </w:rPr>
        <w:t xml:space="preserve">S4. Operationally meaningful finding on risk/severity filtering (Tactical)</w:t>
      </w:r>
    </w:p>
    <w:p>
      <w:pPr>
        <w:spacing w:after="160" w:line="320"/>
        <w:jc w:val="both"/>
      </w:pPr>
      <w:r>
        <w:rPr>
          <w:rFonts w:ascii="Georgia" w:cs="Georgia" w:eastAsia="Georgia" w:hAnsi="Georgia"/>
          <w:color w:val="5A5A5A"/>
          <w:sz w:val="22"/>
          <w:szCs w:val="22"/>
        </w:rPr>
        <w:t xml:space="preserve">The finding that ATT&amp;CK coverage drops from 48–55% to 25–26% when only high-risk and high-severity rules are retained is directly actionable for security operations teams who triage alerts by severity. This converts an abstract debate about whether coverage is “meaningful” into a concrete operational claim: roughly half of the marketed coverage figure comes from rules that SOC analysts would deprioritise in practice. This finding connects directly to the SIEM-driven Monitoring and Incident Response capability described in Module 3, Topic 9 of INFO 5001, where the value of a rule is determined not by its existence but by whether it produces alerts that analysts can act on.</w:t>
      </w:r>
    </w:p>
    <w:p>
      <w:pPr>
        <w:pStyle w:val="Heading3"/>
        <w:spacing w:after="100" w:before="220"/>
      </w:pPr>
      <w:r>
        <w:rPr>
          <w:rFonts w:ascii="Georgia" w:cs="Georgia" w:eastAsia="Georgia" w:hAnsi="Georgia"/>
          <w:b/>
          <w:bCs/>
          <w:color w:val="140F50"/>
          <w:sz w:val="22"/>
          <w:szCs w:val="22"/>
        </w:rPr>
        <w:t xml:space="preserve">S5. Statistical rigour in coverage-similarity analysis (Tactical)</w:t>
      </w:r>
    </w:p>
    <w:p>
      <w:pPr>
        <w:spacing w:after="160" w:line="320"/>
        <w:jc w:val="both"/>
      </w:pPr>
      <w:r>
        <w:rPr>
          <w:rFonts w:ascii="Georgia" w:cs="Georgia" w:eastAsia="Georgia" w:hAnsi="Georgia"/>
          <w:color w:val="5A5A5A"/>
          <w:sz w:val="22"/>
          <w:szCs w:val="22"/>
        </w:rPr>
        <w:t xml:space="preserve">Spearman rank correlations between pairs of products (ρ = 0.634 for Carbon Black–Splunk, 0.639 for Splunk–Elastic, 0.744 for Carbon Black–Elastic, and figures for pairs involving Sigma in the range 0.701–0.793, all p &lt; 0.001) provide a defensible quantitative basis for the paper's claim that vendors share similar preferences for which techniques to cover. This is methodologically stronger than visual inspection of bar charts and gives the within-paper analyses inferential power that downstream researchers can build on, as the present report does in Section VI.</w:t>
      </w:r>
    </w:p>
    <w:p>
      <w:pPr>
        <w:pStyle w:val="Heading3"/>
        <w:spacing w:after="100" w:before="220"/>
      </w:pPr>
      <w:r>
        <w:rPr>
          <w:rFonts w:ascii="Georgia" w:cs="Georgia" w:eastAsia="Georgia" w:hAnsi="Georgia"/>
          <w:b/>
          <w:bCs/>
          <w:color w:val="140F50"/>
          <w:sz w:val="22"/>
          <w:szCs w:val="22"/>
        </w:rPr>
        <w:t xml:space="preserve">S6. Conservative open-coding methodology for unimplemented techniques (Strategic)</w:t>
      </w:r>
    </w:p>
    <w:p>
      <w:pPr>
        <w:spacing w:after="160" w:line="320"/>
        <w:jc w:val="both"/>
      </w:pPr>
      <w:r>
        <w:rPr>
          <w:rFonts w:ascii="Georgia" w:cs="Georgia" w:eastAsia="Georgia" w:hAnsi="Georgia"/>
          <w:color w:val="5A5A5A"/>
          <w:sz w:val="22"/>
          <w:szCs w:val="22"/>
        </w:rPr>
        <w:t xml:space="preserve">The qualitative analysis in Section 5 of the paper uses three independent coders with iterative codebook refinement and conservative classification rules. For example, the code “ineffective detection method” is only applied when MITRE itself flags the technique as hard to detect, rather than when the coders subjectively believe so. The resulting taxonomy of ten reasons for non-implementation is reusable by other researchers and is grounded in MITRE's own technique descriptions rather than coder opinion. This is a methodological transparency strength.</w:t>
      </w:r>
    </w:p>
    <w:p>
      <w:pPr>
        <w:pStyle w:val="Heading3"/>
        <w:spacing w:after="100" w:before="220"/>
      </w:pPr>
      <w:r>
        <w:rPr>
          <w:rFonts w:ascii="Georgia" w:cs="Georgia" w:eastAsia="Georgia" w:hAnsi="Georgia"/>
          <w:b/>
          <w:bCs/>
          <w:color w:val="140F50"/>
          <w:sz w:val="22"/>
          <w:szCs w:val="22"/>
        </w:rPr>
        <w:t xml:space="preserve">S7. The “unrealizable technique” insight is conceptually important (Strategic)</w:t>
      </w:r>
    </w:p>
    <w:p>
      <w:pPr>
        <w:spacing w:after="160" w:line="320"/>
        <w:jc w:val="both"/>
      </w:pPr>
      <w:r>
        <w:rPr>
          <w:rFonts w:ascii="Georgia" w:cs="Georgia" w:eastAsia="Georgia" w:hAnsi="Georgia"/>
          <w:color w:val="5A5A5A"/>
          <w:sz w:val="22"/>
          <w:szCs w:val="22"/>
        </w:rPr>
        <w:t xml:space="preserve">Establishing that some ATT&amp;CK techniques are inherently hard to detect on endpoints, because they target third parties, require provenance graphs, occur at the hardware or firmware level, exploit removable media, or rely on human-factor manipulation, reframes the entire coverage-as-security debate. 100% coverage is not just unattainable in practice; it is not meaningful as a goal. This insight connects to the endpoint-security limitations discussed in Module 3, Topic 9 (specifically, “Device Dependency: If the device is compromised, its own security may be bypassed”): the paper's “unrealizable” category is the structural counterpart of the course's “device dependency” caveat, showing that even when endpoint detection works, the framework being measured against is partly out of reach.</w:t>
      </w:r>
    </w:p>
    <w:p>
      <w:pPr>
        <w:pStyle w:val="Heading3"/>
        <w:spacing w:after="100" w:before="220"/>
      </w:pPr>
      <w:r>
        <w:rPr>
          <w:rFonts w:ascii="Georgia" w:cs="Georgia" w:eastAsia="Georgia" w:hAnsi="Georgia"/>
          <w:b/>
          <w:bCs/>
          <w:color w:val="140F50"/>
          <w:sz w:val="22"/>
          <w:szCs w:val="22"/>
        </w:rPr>
        <w:t xml:space="preserve">S8. The consistency analysis is the most damaging finding for ATT&amp;CK-as-metric (Operational)</w:t>
      </w:r>
    </w:p>
    <w:p>
      <w:pPr>
        <w:spacing w:after="160" w:line="320"/>
        <w:jc w:val="both"/>
      </w:pPr>
      <w:r>
        <w:rPr>
          <w:rFonts w:ascii="Georgia" w:cs="Georgia" w:eastAsia="Georgia" w:hAnsi="Georgia"/>
          <w:color w:val="5A5A5A"/>
          <w:sz w:val="22"/>
          <w:szCs w:val="22"/>
        </w:rPr>
        <w:t xml:space="preserve">The finding that vendors targeting the same threat, for example FIN7, SUNBURST, Nobelium, Ryuk, Trickbot, agree on only 12.5% of ATT&amp;CK technique annotations is a clean falsification of the implicit assumption underpinning ATT&amp;CK-based product comparison. The CVE-2021-4034 case study in Section 6 of the paper is particularly compelling: Carbon Black tags the vulnerability under T1548, while Elastic and Splunk tag it under T1068. Both labels are defensible (privilege escalation can be characterised as either Abuse Elevation Control Mechanism or Exploitation for Privilege Escalation), which is precisely what makes the result damaging. The disagreement is not sloppy work; it is two equally-valid readings of the same threat, which means ATT&amp;CK technique coverage cannot be used as a basis for product comparison even when products demonstrably address the same threats. This finding also intersects with Module 2's teaching on the Nobelium / Midnight Blizzard case study, since Nobelium is among the threats with explicit dedicated rules in all three commercial products and is among those for which vendors disagree on technique labels.</w:t>
      </w:r>
    </w:p>
    <w:p>
      <w:pPr>
        <w:pStyle w:val="Heading3"/>
        <w:spacing w:after="100" w:before="220"/>
      </w:pPr>
      <w:r>
        <w:rPr>
          <w:rFonts w:ascii="Georgia" w:cs="Georgia" w:eastAsia="Georgia" w:hAnsi="Georgia"/>
          <w:b/>
          <w:bCs/>
          <w:color w:val="140F50"/>
          <w:sz w:val="22"/>
          <w:szCs w:val="22"/>
        </w:rPr>
        <w:t xml:space="preserve">S9. Clear ATT&amp;CK-version transparency (Tactical)</w:t>
      </w:r>
    </w:p>
    <w:p>
      <w:pPr>
        <w:spacing w:after="160" w:line="320"/>
        <w:jc w:val="both"/>
      </w:pPr>
      <w:r>
        <w:rPr>
          <w:rFonts w:ascii="Georgia" w:cs="Georgia" w:eastAsia="Georgia" w:hAnsi="Georgia"/>
          <w:color w:val="5A5A5A"/>
          <w:sz w:val="22"/>
          <w:szCs w:val="22"/>
        </w:rPr>
        <w:t xml:space="preserve">The paper explicitly fixes the analysis to ATT&amp;CK Version 11 (191 parent techniques, 14 tactics, October 2022). This is good measurement hygiene: coverage numbers can only be interpreted against a fixed denominator, and pinning the version allows other researchers to reproduce the analysis or extend it to a different version while comparing like with like. The present report's Sentinel extension benefits directly from this transparency, since the Sentinel CSV used also references ATT&amp;CK v11 mappings, allowing direct comparison.</w:t>
      </w:r>
    </w:p>
    <w:p>
      <w:pPr>
        <w:pStyle w:val="Heading3"/>
        <w:spacing w:after="100" w:before="220"/>
      </w:pPr>
      <w:r>
        <w:rPr>
          <w:rFonts w:ascii="Georgia" w:cs="Georgia" w:eastAsia="Georgia" w:hAnsi="Georgia"/>
          <w:b/>
          <w:bCs/>
          <w:color w:val="140F50"/>
          <w:sz w:val="22"/>
          <w:szCs w:val="22"/>
        </w:rPr>
        <w:t xml:space="preserve">S10. Open artifact and dataset (Tactical)</w:t>
      </w:r>
    </w:p>
    <w:p>
      <w:pPr>
        <w:spacing w:after="160" w:line="320"/>
        <w:jc w:val="both"/>
      </w:pPr>
      <w:r>
        <w:rPr>
          <w:rFonts w:ascii="Georgia" w:cs="Georgia" w:eastAsia="Georgia" w:hAnsi="Georgia"/>
          <w:color w:val="5A5A5A"/>
          <w:sz w:val="22"/>
          <w:szCs w:val="22"/>
        </w:rPr>
        <w:t xml:space="preserve">The supplementary materials on GitHub (github.com/avirkud/endpoint-detection-mitreattack) include the rule dataset, ATT&amp;CK technique mappings, and Jupyter notebooks reproducing the figures. The artifact received the USENIX Security 2024 Artifact Evaluation “Available”, “Functional”, and “Reproduced” badges, indicating it passed independent evaluation. This is a substantive strength because much security research is not reproducible at all; Virkud et al. are among the minority of security publications that ship the data and code needed for independent reproduction.</w:t>
      </w:r>
    </w:p>
    <w:p>
      <w:pPr>
        <w:pStyle w:val="Heading3"/>
        <w:spacing w:after="100" w:before="220"/>
      </w:pPr>
      <w:r>
        <w:rPr>
          <w:rFonts w:ascii="Georgia" w:cs="Georgia" w:eastAsia="Georgia" w:hAnsi="Georgia"/>
          <w:b/>
          <w:bCs/>
          <w:color w:val="140F50"/>
          <w:sz w:val="22"/>
          <w:szCs w:val="22"/>
        </w:rPr>
        <w:t xml:space="preserve">S11. Methodological humility (Strategic)</w:t>
      </w:r>
    </w:p>
    <w:p>
      <w:pPr>
        <w:spacing w:after="160" w:line="320"/>
        <w:jc w:val="both"/>
      </w:pPr>
      <w:r>
        <w:rPr>
          <w:rFonts w:ascii="Georgia" w:cs="Georgia" w:eastAsia="Georgia" w:hAnsi="Georgia"/>
          <w:color w:val="5A5A5A"/>
          <w:sz w:val="22"/>
          <w:szCs w:val="22"/>
        </w:rPr>
        <w:t xml:space="preserve">The paper repeatedly clarifies what it does not claim. The authors are careful to note that they evaluate ATT&amp;CK as a metric, not the products themselves, and that low overlap in dedicated rules does not mean low security: generic rules may catch a threat even when no rule explicitly mentions it. This humility blunts predictable vendor pushback and strengthens the surviving conclusions. The framing parallels the course's treatment of ISO 27001 in Module 3, Topic 10, where the textbook similarly cautions that compliance frameworks “provide structure” but are “only as effective as the effort put into [them]”. Both texts argue that the framework is a tool for organising security work, not a substitute for it.</w:t>
      </w:r>
    </w:p>
    <w:p>
      <w:pPr>
        <w:pStyle w:val="Heading3"/>
        <w:spacing w:after="100" w:before="220"/>
      </w:pPr>
      <w:r>
        <w:rPr>
          <w:rFonts w:ascii="Georgia" w:cs="Georgia" w:eastAsia="Georgia" w:hAnsi="Georgia"/>
          <w:b/>
          <w:bCs/>
          <w:color w:val="140F50"/>
          <w:sz w:val="22"/>
          <w:szCs w:val="22"/>
        </w:rPr>
        <w:t xml:space="preserve">S12. Practical, multi-audience recommendations (Strategic)</w:t>
      </w:r>
    </w:p>
    <w:p>
      <w:pPr>
        <w:spacing w:after="160" w:line="320"/>
        <w:jc w:val="both"/>
      </w:pPr>
      <w:r>
        <w:rPr>
          <w:rFonts w:ascii="Georgia" w:cs="Georgia" w:eastAsia="Georgia" w:hAnsi="Georgia"/>
          <w:color w:val="5A5A5A"/>
          <w:sz w:val="22"/>
          <w:szCs w:val="22"/>
        </w:rPr>
        <w:t xml:space="preserve">Section 8.2 of the paper gives concrete recommendations for vendors (drop the conflation between “techniques” and “tactics-techniques-procedures”), for MITRE itself (include risk and severity metadata in the framework), for practitioners (prefer D3FEND and NIST CSF for defensive capability evaluation), and for cyber insurers (do not use ATT&amp;CK coverage as a primary metric). The multi-audience targeting is good policy framing, and the specific alternatives, D3FEND and NIST CSF (NIST, 2024), are recognised in the security frameworks coverage of Module 3, Topic 10, where the course presents ISO 27001 alongside NIST as established compliance frameworks.</w:t>
      </w:r>
    </w:p>
    <w:p>
      <w:pPr>
        <w:pStyle w:val="Heading2"/>
        <w:spacing w:after="160" w:before="280"/>
      </w:pPr>
      <w:r>
        <w:rPr>
          <w:rFonts w:ascii="Georgia" w:cs="Georgia" w:eastAsia="Georgia" w:hAnsi="Georgia"/>
          <w:b/>
          <w:bCs/>
          <w:color w:val="140F50"/>
          <w:sz w:val="24"/>
          <w:szCs w:val="24"/>
          <w:u w:val="single"/>
        </w:rPr>
        <w:t xml:space="preserve">2. </w:t>
      </w:r>
      <w:r>
        <w:rPr>
          <w:rFonts w:ascii="Georgia" w:cs="Georgia" w:eastAsia="Georgia" w:hAnsi="Georgia"/>
          <w:b/>
          <w:bCs/>
          <w:color w:val="140F50"/>
          <w:sz w:val="24"/>
          <w:szCs w:val="24"/>
          <w:u w:val="single"/>
        </w:rPr>
        <w:t xml:space="preserve">Weaknesses</w:t>
      </w:r>
    </w:p>
    <w:p>
      <w:pPr>
        <w:spacing w:after="160" w:line="320"/>
        <w:jc w:val="both"/>
      </w:pPr>
      <w:r>
        <w:rPr>
          <w:rFonts w:ascii="Georgia" w:cs="Georgia" w:eastAsia="Georgia" w:hAnsi="Georgia"/>
          <w:color w:val="5A5A5A"/>
          <w:sz w:val="22"/>
          <w:szCs w:val="22"/>
        </w:rPr>
        <w:t xml:space="preserve">The paper has seventeen weaknesses, several of which are addressed directly by the Microsoft Sentinel extension presented in Section VI of this report. Weaknesses tagged “[course]” are grounded in frameworks taught in INFO 5001; weaknesses tagged “[addressed]” are partially or fully resolved by the extension.</w:t>
      </w:r>
    </w:p>
    <w:p>
      <w:pPr>
        <w:pStyle w:val="Heading3"/>
        <w:spacing w:after="100" w:before="220"/>
      </w:pPr>
      <w:r>
        <w:rPr>
          <w:rFonts w:ascii="Georgia" w:cs="Georgia" w:eastAsia="Georgia" w:hAnsi="Georgia"/>
          <w:b/>
          <w:bCs/>
          <w:color w:val="140F50"/>
          <w:sz w:val="22"/>
          <w:szCs w:val="22"/>
        </w:rPr>
        <w:t xml:space="preserve">W1. Snapshot-in-time analysis with no estimate of finding half-life (Tactical) [addressed]</w:t>
      </w:r>
    </w:p>
    <w:p>
      <w:pPr>
        <w:spacing w:after="160" w:line="320"/>
        <w:jc w:val="both"/>
      </w:pPr>
      <w:r>
        <w:rPr>
          <w:rFonts w:ascii="Georgia" w:cs="Georgia" w:eastAsia="Georgia" w:hAnsi="Georgia"/>
          <w:color w:val="5A5A5A"/>
          <w:sz w:val="22"/>
          <w:szCs w:val="22"/>
        </w:rPr>
        <w:t xml:space="preserve">The dataset was captured in October 2022 against ATT&amp;CK Version 11. ATT&amp;CK has since advanced through several major versions, rulesets are continuously updated, and individual technique annotations evolve as vendors refactor their detection content. The paper does not estimate the rate of drift, so a reader cannot tell whether the 48–55% figure is stable, growing, or shrinking. The present report's Sentinel extension partially addresses this by demonstrating that the public Microsoft Sentinel feed is itself frozen at August 2022 (within two months of Virkud et al.'s October 2022 snapshot), allowing direct temporal comparison rather than time-shifted analysis.</w:t>
      </w:r>
    </w:p>
    <w:p>
      <w:pPr>
        <w:pStyle w:val="Heading3"/>
        <w:spacing w:after="100" w:before="220"/>
      </w:pPr>
      <w:r>
        <w:rPr>
          <w:rFonts w:ascii="Georgia" w:cs="Georgia" w:eastAsia="Georgia" w:hAnsi="Georgia"/>
          <w:b/>
          <w:bCs/>
          <w:color w:val="140F50"/>
          <w:sz w:val="22"/>
          <w:szCs w:val="22"/>
        </w:rPr>
        <w:t xml:space="preserve">W2. Notable absence of Microsoft Sentinel and CrowdStrike Falcon (Tactical) [addressed]</w:t>
      </w:r>
    </w:p>
    <w:p>
      <w:pPr>
        <w:spacing w:after="160" w:line="320"/>
        <w:jc w:val="both"/>
      </w:pPr>
      <w:r>
        <w:rPr>
          <w:rFonts w:ascii="Georgia" w:cs="Georgia" w:eastAsia="Georgia" w:hAnsi="Georgia"/>
          <w:color w:val="5A5A5A"/>
          <w:sz w:val="22"/>
          <w:szCs w:val="22"/>
        </w:rPr>
        <w:t xml:space="preserve">The authors note that they are not aware of any other public or semi-public commercial rulesets to include, but Microsoft maintains a public ATT&amp;CK-tagged ruleset for Sentinel at github.com/microsoft/mstic/PublicFeeds/MITREATT%26CK/MicrosoftSentinel.csv, with thousands of additional rules available in the github.com/Azure/Azure-Sentinel repository. Microsoft Sentinel has been identified as a Leader in recent Gartner Magic Quadrant assessments for SIEM (Davies et al., 2024) and in the Forrester Wave for Security Analytics Platforms (Microsoft Security, 2024), and was publicly available at the time of the paper's data collection. This is a substantive omission, not merely a representativeness limitation. The omission is particularly consequential given that Nobelium / Midnight Blizzard, one of the malicious entities the paper studies in its consistency analysis, is precisely the attacker profile Microsoft Sentinel is built to detect. Section VI of this report addresses W2 directly by adding Sentinel as a fifth ruleset and reporting how it changes the picture.</w:t>
      </w:r>
    </w:p>
    <w:p>
      <w:pPr>
        <w:pStyle w:val="Heading3"/>
        <w:spacing w:after="100" w:before="220"/>
      </w:pPr>
      <w:r>
        <w:rPr>
          <w:rFonts w:ascii="Georgia" w:cs="Georgia" w:eastAsia="Georgia" w:hAnsi="Georgia"/>
          <w:b/>
          <w:bCs/>
          <w:color w:val="140F50"/>
          <w:sz w:val="22"/>
          <w:szCs w:val="22"/>
        </w:rPr>
        <w:t xml:space="preserve">W3. Coverage treats all rules as equal in informational weight (Tactical)</w:t>
      </w:r>
    </w:p>
    <w:p>
      <w:pPr>
        <w:spacing w:after="160" w:line="320"/>
        <w:jc w:val="both"/>
      </w:pPr>
      <w:r>
        <w:rPr>
          <w:rFonts w:ascii="Georgia" w:cs="Georgia" w:eastAsia="Georgia" w:hAnsi="Georgia"/>
          <w:color w:val="5A5A5A"/>
          <w:sz w:val="22"/>
          <w:szCs w:val="22"/>
        </w:rPr>
        <w:t xml:space="preserve">A single Splunk rule covering T1059 (Command and Scripting Interpreter) contributes the same to the “coverage” calculation as Carbon Black's 142 rules for T1218 (Signed Binary Proxy Execution). The paper acknowledges density variation in Figure 2 but the headline coverage figure does not reflect detection robustness: a technique with one fragile, narrow rule is “covered” by the same definition as a technique with 142 well-tested, broad rules. This conflates breadth with depth and makes the coverage number harder to interpret as a security signal. The course's framing of defence-in-depth (Module 3, Topic 9) emphasises that depth and redundancy of detection matter more than narrow checkpoints, which suggests rule density should be weighted more heavily in any “coverage” metric.</w:t>
      </w:r>
    </w:p>
    <w:p>
      <w:pPr>
        <w:pStyle w:val="Heading3"/>
        <w:spacing w:after="100" w:before="220"/>
      </w:pPr>
      <w:r>
        <w:rPr>
          <w:rFonts w:ascii="Georgia" w:cs="Georgia" w:eastAsia="Georgia" w:hAnsi="Georgia"/>
          <w:b/>
          <w:bCs/>
          <w:color w:val="140F50"/>
          <w:sz w:val="22"/>
          <w:szCs w:val="22"/>
        </w:rPr>
        <w:t xml:space="preserve">W4. No ground-truth validation of vendor ATT&amp;CK tagging (Operational)</w:t>
      </w:r>
    </w:p>
    <w:p>
      <w:pPr>
        <w:spacing w:after="160" w:line="320"/>
        <w:jc w:val="both"/>
      </w:pPr>
      <w:r>
        <w:rPr>
          <w:rFonts w:ascii="Georgia" w:cs="Georgia" w:eastAsia="Georgia" w:hAnsi="Georgia"/>
          <w:color w:val="5A5A5A"/>
          <w:sz w:val="22"/>
          <w:szCs w:val="22"/>
        </w:rPr>
        <w:t xml:space="preserve">The paper accepts vendor-supplied ATT&amp;CK labels at face value throughout. There is no check that a rule tagged with T1059 actually detects T1059 behaviour, or that the technique annotation is appropriate to the rule's detection logic. The consistency analysis in Section 6 surfaces some of this issue indirectly (different vendors disagree, so at most one and possibly none is correct), but the paper never asks: when vendors do agree, are they correct? Vendor incentives to over-tag rules with high-profile techniques for marketing purposes could systematically inflate the coverage figure, and the paper has no mechanism to detect this.</w:t>
      </w:r>
    </w:p>
    <w:p>
      <w:pPr>
        <w:pStyle w:val="Heading3"/>
        <w:spacing w:after="100" w:before="220"/>
      </w:pPr>
      <w:r>
        <w:rPr>
          <w:rFonts w:ascii="Georgia" w:cs="Georgia" w:eastAsia="Georgia" w:hAnsi="Georgia"/>
          <w:b/>
          <w:bCs/>
          <w:color w:val="140F50"/>
          <w:sz w:val="22"/>
          <w:szCs w:val="22"/>
        </w:rPr>
        <w:t xml:space="preserve">W5. Sigma is not architecturally comparable to the three commercial rulesets (Tactical)</w:t>
      </w:r>
    </w:p>
    <w:p>
      <w:pPr>
        <w:spacing w:after="160" w:line="320"/>
        <w:jc w:val="both"/>
      </w:pPr>
      <w:r>
        <w:rPr>
          <w:rFonts w:ascii="Georgia" w:cs="Georgia" w:eastAsia="Georgia" w:hAnsi="Georgia"/>
          <w:color w:val="5A5A5A"/>
          <w:sz w:val="22"/>
          <w:szCs w:val="22"/>
        </w:rPr>
        <w:t xml:space="preserve">Sigma is a vendor-agnostic, community-maintained format with thousands of contributors and no commercial quality-assurance process. Its 79% ATT&amp;CK coverage and statistically similar rank correlations are reported in parallel with commercial figures, and although the paper appropriately segregates Sigma into Appendix A, a casual reader may conflate Sigma's higher coverage with what a commercial ruleset could achieve. The Sigma comparison is informative but is treated as if it answers the same question the commercial comparison answers, when in fact it answers a different question (what coverage looks like when crowdsourced rather than commercially curated).</w:t>
      </w:r>
    </w:p>
    <w:p>
      <w:pPr>
        <w:pStyle w:val="Heading3"/>
        <w:spacing w:after="100" w:before="220"/>
      </w:pPr>
      <w:r>
        <w:rPr>
          <w:rFonts w:ascii="Georgia" w:cs="Georgia" w:eastAsia="Georgia" w:hAnsi="Georgia"/>
          <w:b/>
          <w:bCs/>
          <w:color w:val="140F50"/>
          <w:sz w:val="22"/>
          <w:szCs w:val="22"/>
        </w:rPr>
        <w:t xml:space="preserve">W6. No inter-rater reliability for qualitative coding (Operational)</w:t>
      </w:r>
    </w:p>
    <w:p>
      <w:pPr>
        <w:spacing w:after="160" w:line="320"/>
        <w:jc w:val="both"/>
      </w:pPr>
      <w:r>
        <w:rPr>
          <w:rFonts w:ascii="Georgia" w:cs="Georgia" w:eastAsia="Georgia" w:hAnsi="Georgia"/>
          <w:color w:val="5A5A5A"/>
          <w:sz w:val="22"/>
          <w:szCs w:val="22"/>
        </w:rPr>
        <w:t xml:space="preserve">The paper explicitly states: “Since all technique codes are collaboratively reviewed by multiple researchers, we do not report inter-rater reliability.” This is methodologically weak: consensus after discussion is not the same as independent agreement, and standard reporting practice for qualitative coding in security research is to provide Cohen's κ or Krippendorff's α on the independent first round. The absence of such a statistic in Virkud et al. is a missing transparency step.</w:t>
      </w:r>
    </w:p>
    <w:p>
      <w:pPr>
        <w:pStyle w:val="Heading3"/>
        <w:spacing w:after="100" w:before="220"/>
      </w:pPr>
      <w:r>
        <w:rPr>
          <w:rFonts w:ascii="Georgia" w:cs="Georgia" w:eastAsia="Georgia" w:hAnsi="Georgia"/>
          <w:b/>
          <w:bCs/>
          <w:color w:val="140F50"/>
          <w:sz w:val="22"/>
          <w:szCs w:val="22"/>
        </w:rPr>
        <w:t xml:space="preserve">W7. The “ineffective detection method” code is a circular indicator (Strategic)</w:t>
      </w:r>
    </w:p>
    <w:p>
      <w:pPr>
        <w:spacing w:after="160" w:line="320"/>
        <w:jc w:val="both"/>
      </w:pPr>
      <w:r>
        <w:rPr>
          <w:rFonts w:ascii="Georgia" w:cs="Georgia" w:eastAsia="Georgia" w:hAnsi="Georgia"/>
          <w:color w:val="5A5A5A"/>
          <w:sz w:val="22"/>
          <w:szCs w:val="22"/>
        </w:rPr>
        <w:t xml:space="preserve">The paper applies the code “ineffective detection method”, its largest single category and accounting for 39.6% of unimplemented techniques, only when MITRE itself flags the technique as hard to detect in the technique description. This means the most common reason for non-implementation, by the paper's own accounting, is essentially “MITRE flagged this technique as hard.” The paper does not separately measure whether vendors agree with MITRE's self-assessment; vendors might omit techniques MITRE thinks are easy, or include techniques MITRE flags as hard. The taxonomy is more a reflection of MITRE's own framework documentation than an independent assessment of vendor reasoning.</w:t>
      </w:r>
    </w:p>
    <w:p>
      <w:pPr>
        <w:pStyle w:val="Heading3"/>
        <w:spacing w:after="100" w:before="220"/>
      </w:pPr>
      <w:r>
        <w:rPr>
          <w:rFonts w:ascii="Georgia" w:cs="Georgia" w:eastAsia="Georgia" w:hAnsi="Georgia"/>
          <w:b/>
          <w:bCs/>
          <w:color w:val="140F50"/>
          <w:sz w:val="22"/>
          <w:szCs w:val="22"/>
        </w:rPr>
        <w:t xml:space="preserve">W8. Detection quality and false-positive rates are not measured (Strategic)</w:t>
      </w:r>
    </w:p>
    <w:p>
      <w:pPr>
        <w:spacing w:after="160" w:line="320"/>
        <w:jc w:val="both"/>
      </w:pPr>
      <w:r>
        <w:rPr>
          <w:rFonts w:ascii="Georgia" w:cs="Georgia" w:eastAsia="Georgia" w:hAnsi="Georgia"/>
          <w:color w:val="5A5A5A"/>
          <w:sz w:val="22"/>
          <w:szCs w:val="22"/>
        </w:rPr>
        <w:t xml:space="preserve">The entire paper is about coverage breadth: how many techniques have at least one rule. There is no measurement of whether the rules that do exist actually detect the behaviours they claim to detect. Karantzas and Patsakis (2021) found that all 11 EDRs they tested missed at least one attack scenario in a controlled experiment, but Karantzas-style detection-quality testing is out of scope here. A technique can be “covered” in Virkud et al.'s sense by a rule that never fires correctly, or by a rule that produces so many false positives it is effectively disabled in operational deployments. This connects to the endpoint security trade-offs discussed in Module 3, Topic 9, where the course materials note that endpoint security has “Diverse Threat Detection: Uses a range of techniques including signature-based detection, behavioural analysis, heuristics, machine learning, and AI”, implying that coverage by any one technique class does not guarantee real-world detection efficacy.</w:t>
      </w:r>
    </w:p>
    <w:p>
      <w:pPr>
        <w:pStyle w:val="Heading3"/>
        <w:spacing w:after="100" w:before="220"/>
      </w:pPr>
      <w:r>
        <w:rPr>
          <w:rFonts w:ascii="Georgia" w:cs="Georgia" w:eastAsia="Georgia" w:hAnsi="Georgia"/>
          <w:b/>
          <w:bCs/>
          <w:color w:val="140F50"/>
          <w:sz w:val="22"/>
          <w:szCs w:val="22"/>
        </w:rPr>
        <w:t xml:space="preserve">W9. Malicious-entity grouping has known incompleteness with unstated quantitative cost (Operational)</w:t>
      </w:r>
    </w:p>
    <w:p>
      <w:pPr>
        <w:spacing w:after="160" w:line="320"/>
        <w:jc w:val="both"/>
      </w:pPr>
      <w:r>
        <w:rPr>
          <w:rFonts w:ascii="Georgia" w:cs="Georgia" w:eastAsia="Georgia" w:hAnsi="Georgia"/>
          <w:color w:val="5A5A5A"/>
          <w:sz w:val="22"/>
          <w:szCs w:val="22"/>
        </w:rPr>
        <w:t xml:space="preserve">Section 6.1 and Section 8.3 of the paper admit that rules without an explicit mention of a known entity in the rule description are excluded from the entity-grouping analysis. The paper does not estimate what fraction of “true” entity-related rules this excludes, so the headline 12.5% agreement figure across the 9 entities common to all three products is a lower bound of unknown looseness. A bootstrap estimate from a sampled subset, or a hand-coded validation on a stratified sample of rules, could have bounded the missing-completeness, but neither appears in the paper.</w:t>
      </w:r>
    </w:p>
    <w:p>
      <w:pPr>
        <w:pStyle w:val="Heading3"/>
        <w:spacing w:after="100" w:before="220"/>
      </w:pPr>
      <w:r>
        <w:rPr>
          <w:rFonts w:ascii="Georgia" w:cs="Georgia" w:eastAsia="Georgia" w:hAnsi="Georgia"/>
          <w:b/>
          <w:bCs/>
          <w:color w:val="140F50"/>
          <w:sz w:val="22"/>
          <w:szCs w:val="22"/>
        </w:rPr>
        <w:t xml:space="preserve">W10. KeyBERT keyword extraction adds a methodological black box (Tactical)</w:t>
      </w:r>
    </w:p>
    <w:p>
      <w:pPr>
        <w:spacing w:after="160" w:line="320"/>
        <w:jc w:val="both"/>
      </w:pPr>
      <w:r>
        <w:rPr>
          <w:rFonts w:ascii="Georgia" w:cs="Georgia" w:eastAsia="Georgia" w:hAnsi="Georgia"/>
          <w:color w:val="5A5A5A"/>
          <w:sz w:val="22"/>
          <w:szCs w:val="22"/>
        </w:rPr>
        <w:t xml:space="preserve">KeyBERT is a transformer-based keyword extractor whose outputs are not fully predictable across versions of the underlying language model. The paper uses KeyBERT to identify additional malicious entities beyond those tracked in MITRE and Malpedia, expanding the entity list by 50 (from 141 to 191). This means a non-trivial fraction (26%) of the entity list depends on a single tool's idiosyncrasies. The paper does not report the KeyBERT version, the parameters used, or any sensitivity analysis showing how the entity count or downstream consistency findings change under different KeyBERT configurations. The artifact does ship the pre-computed KeyBERT output, but this means independent verification of the KeyBERT step is not possible without re-running the heavy, GPU-dependent extraction.</w:t>
      </w:r>
    </w:p>
    <w:p>
      <w:pPr>
        <w:pStyle w:val="Heading3"/>
        <w:spacing w:after="100" w:before="220"/>
      </w:pPr>
      <w:r>
        <w:rPr>
          <w:rFonts w:ascii="Georgia" w:cs="Georgia" w:eastAsia="Georgia" w:hAnsi="Georgia"/>
          <w:b/>
          <w:bCs/>
          <w:color w:val="140F50"/>
          <w:sz w:val="22"/>
          <w:szCs w:val="22"/>
        </w:rPr>
        <w:t xml:space="preserve">W11. Risk/severity/confidence metadata is incomplete across vendors (Tactical)</w:t>
      </w:r>
    </w:p>
    <w:p>
      <w:pPr>
        <w:spacing w:after="160" w:line="320"/>
        <w:jc w:val="both"/>
      </w:pPr>
      <w:r>
        <w:rPr>
          <w:rFonts w:ascii="Georgia" w:cs="Georgia" w:eastAsia="Georgia" w:hAnsi="Georgia"/>
          <w:color w:val="5A5A5A"/>
          <w:sz w:val="22"/>
          <w:szCs w:val="22"/>
        </w:rPr>
        <w:t xml:space="preserve">Table 1 of the paper's metadata matrix shows that Carbon Black has no risk score, Splunk has no severity score, and Elastic has no confidence score. The risk/severity filtering analysis in Section 4 (Table 3) shows “/” for missing fields but does not normalise the comparison across vendors. A reader cannot tell whether Carbon Black has lower “high-severity coverage” than Splunk because of genuine difference or because severity is not available for Carbon Black at all. The paper would have benefited from either an imputation strategy (with sensitivity analysis) or a normalised metric that uses whichever of risk/severity/confidence is available per vendor.</w:t>
      </w:r>
    </w:p>
    <w:p>
      <w:pPr>
        <w:pStyle w:val="Heading3"/>
        <w:spacing w:after="100" w:before="220"/>
      </w:pPr>
      <w:r>
        <w:rPr>
          <w:rFonts w:ascii="Georgia" w:cs="Georgia" w:eastAsia="Georgia" w:hAnsi="Georgia"/>
          <w:b/>
          <w:bCs/>
          <w:color w:val="140F50"/>
          <w:sz w:val="22"/>
          <w:szCs w:val="22"/>
        </w:rPr>
        <w:t xml:space="preserve">W12. Recommendations are aspirational rather than operationalised (Strategic) [course]</w:t>
      </w:r>
    </w:p>
    <w:p>
      <w:pPr>
        <w:spacing w:after="160" w:line="320"/>
        <w:jc w:val="both"/>
      </w:pPr>
      <w:r>
        <w:rPr>
          <w:rFonts w:ascii="Georgia" w:cs="Georgia" w:eastAsia="Georgia" w:hAnsi="Georgia"/>
          <w:color w:val="5A5A5A"/>
          <w:sz w:val="22"/>
          <w:szCs w:val="22"/>
        </w:rPr>
        <w:t xml:space="preserve">Section 8.2 of the paper proposes recommendations such as “develop feedback mechanisms for rule performance sharing” and “build a centralised registry of detection rule metadata.” These are reasonable in direction, but the paper provides no prototype, no schema, no evidence that any vendor would adopt them. The course materials' framing of ISO 27001 (ISO, 2022) in Module 3, Topic 10 applies here too: “ISO 27001 doesn't guarantee security ... [it] is only as effective as the effort put into it.” Virkud et al. propose what amounts to a meta-framework for ATT&amp;CK feedback, but provide no implementation. By contrast, Sigma's success as a community detection format was driven by an early implementation, not a recommendation. The paper diagnoses the problem strongly but stops short of building a tool that addresses it.</w:t>
      </w:r>
    </w:p>
    <w:p>
      <w:pPr>
        <w:pStyle w:val="Heading3"/>
        <w:spacing w:after="100" w:before="220"/>
      </w:pPr>
      <w:r>
        <w:rPr>
          <w:rFonts w:ascii="Georgia" w:cs="Georgia" w:eastAsia="Georgia" w:hAnsi="Georgia"/>
          <w:b/>
          <w:bCs/>
          <w:color w:val="140F50"/>
          <w:sz w:val="22"/>
          <w:szCs w:val="22"/>
        </w:rPr>
        <w:t xml:space="preserve">W13. No analysis of update cadence or rule churn (Tactical) [addressed]</w:t>
      </w:r>
    </w:p>
    <w:p>
      <w:pPr>
        <w:spacing w:after="160" w:line="320"/>
        <w:jc w:val="both"/>
      </w:pPr>
      <w:r>
        <w:rPr>
          <w:rFonts w:ascii="Georgia" w:cs="Georgia" w:eastAsia="Georgia" w:hAnsi="Georgia"/>
          <w:color w:val="5A5A5A"/>
          <w:sz w:val="22"/>
          <w:szCs w:val="22"/>
        </w:rPr>
        <w:t xml:space="preserve">Rulesets are not static: vendors add, modify, and retire rules continuously (Vermeer et al., 2022, quantify rule churn in commercial NIDS rulesets at a managed security service provider over a multi-year window). Sigma's public history alone shows hundreds of rule changes per quarter. The paper treats the October 2022 snapshot as if it were the ruleset, providing no estimate of the half-life of its findings. The present report's Sentinel extension partially addresses this by establishing that the Microsoft Sentinel public feed is frozen at August 2022 (within two months of the original snapshot), allowing for cross-validation that the findings are not unique to a particular sampling moment.</w:t>
      </w:r>
    </w:p>
    <w:p>
      <w:pPr>
        <w:pStyle w:val="Heading3"/>
        <w:spacing w:after="100" w:before="220"/>
      </w:pPr>
      <w:r>
        <w:rPr>
          <w:rFonts w:ascii="Georgia" w:cs="Georgia" w:eastAsia="Georgia" w:hAnsi="Georgia"/>
          <w:b/>
          <w:bCs/>
          <w:color w:val="140F50"/>
          <w:sz w:val="22"/>
          <w:szCs w:val="22"/>
        </w:rPr>
        <w:t xml:space="preserve">W14. Accepts ATT&amp;CK as the universe of adversary behaviour (Strategic) [course]</w:t>
      </w:r>
    </w:p>
    <w:p>
      <w:pPr>
        <w:spacing w:after="160" w:line="320"/>
        <w:jc w:val="both"/>
      </w:pPr>
      <w:r>
        <w:rPr>
          <w:rFonts w:ascii="Georgia" w:cs="Georgia" w:eastAsia="Georgia" w:hAnsi="Georgia"/>
          <w:color w:val="5A5A5A"/>
          <w:sz w:val="22"/>
          <w:szCs w:val="22"/>
        </w:rPr>
        <w:t xml:space="preserve">The paper measures vendor coverage of ATT&amp;CK but never asks whether ATT&amp;CK itself is a complete enumeration of adversary behaviour. The Unified Kill Chain framework (Pols, 2021), which is taught in INFO 5001 Module 1, Topic 3 as an “Additional Read” alongside ATT&amp;CK, demonstrates that ATT&amp;CK lacks coverage of three phases that occur in real attacks: Pivoting (tunneling traffic through a controlled system to other systems that are not directly accessible), Social Engineering (techniques aimed at the manipulation of people to perform unsafe actions), and Objectives (the socio-technical objectives of an attack that are intended to achieve a strategic goal). A vendor showing 100% ATT&amp;CK coverage could still miss entire phases of real attacks, for example pivoting between segmented networks, which is invisible to ATT&amp;CK's tactic enumeration. The paper's critique of ATT&amp;CK-as-metric would be substantially strengthened by acknowledging that ATT&amp;CK itself has architectural blind spots.</w:t>
      </w:r>
    </w:p>
    <w:p>
      <w:pPr>
        <w:pStyle w:val="Heading3"/>
        <w:spacing w:after="100" w:before="220"/>
      </w:pPr>
      <w:r>
        <w:rPr>
          <w:rFonts w:ascii="Georgia" w:cs="Georgia" w:eastAsia="Georgia" w:hAnsi="Georgia"/>
          <w:b/>
          <w:bCs/>
          <w:color w:val="140F50"/>
          <w:sz w:val="22"/>
          <w:szCs w:val="22"/>
        </w:rPr>
        <w:t xml:space="preserve">W15. Scope is limited to signature-based detection (Tactical) [course]</w:t>
      </w:r>
    </w:p>
    <w:p>
      <w:pPr>
        <w:spacing w:after="160" w:line="320"/>
        <w:jc w:val="both"/>
      </w:pPr>
      <w:r>
        <w:rPr>
          <w:rFonts w:ascii="Georgia" w:cs="Georgia" w:eastAsia="Georgia" w:hAnsi="Georgia"/>
          <w:color w:val="5A5A5A"/>
          <w:sz w:val="22"/>
          <w:szCs w:val="22"/>
        </w:rPr>
        <w:t xml:space="preserve">Module 1, Topic 1 of INFO 5001 teaches that intrusion detection and prevention systems use three methodologies: signature-based detection, anomaly-based detection, and stateful protocol analysis. Virkud et al. restrict their scope entirely to signature-based rule databases. The findings about coverage and labelling consistency therefore do not generalise to anomaly-detection products such as CrowdStrike Falcon's behavioural analytics, Vectra AI's network detection-and-response, or Darktrace's machine-learning models. This is a real scope constraint that the paper would benefit from acknowledging explicitly, particularly since several of the unimplemented techniques in Section 5 (such as living-off-the-land binary abuse) are widely cited as being better detected by anomaly methods.</w:t>
      </w:r>
    </w:p>
    <w:p>
      <w:pPr>
        <w:pStyle w:val="Heading3"/>
        <w:spacing w:after="100" w:before="220"/>
      </w:pPr>
      <w:r>
        <w:rPr>
          <w:rFonts w:ascii="Georgia" w:cs="Georgia" w:eastAsia="Georgia" w:hAnsi="Georgia"/>
          <w:b/>
          <w:bCs/>
          <w:color w:val="140F50"/>
          <w:sz w:val="22"/>
          <w:szCs w:val="22"/>
        </w:rPr>
        <w:t xml:space="preserve">W16. Artifact ships pre-filter data, not the manual filter decisions (Strategic)</w:t>
      </w:r>
    </w:p>
    <w:p>
      <w:pPr>
        <w:spacing w:after="160" w:line="320"/>
        <w:jc w:val="both"/>
      </w:pPr>
      <w:r>
        <w:rPr>
          <w:rFonts w:ascii="Georgia" w:cs="Georgia" w:eastAsia="Georgia" w:hAnsi="Georgia"/>
          <w:color w:val="5A5A5A"/>
          <w:sz w:val="22"/>
          <w:szCs w:val="22"/>
        </w:rPr>
        <w:t xml:space="preserve">The supplementary materials ship the pre-computed file combined_rules_annotated_entities.csv containing 291 unique entity labels across 1,452 rule entries. The paper claims that after manual verification, 191 of these are confirmed malicious entities and the rest are benign terms (such as “powershell”, “net”, “browser”) that were captured by the keyword-extraction pipeline. The artifact does not ship the manual-filter decisions that reduce the 291 to 191. Independent verification of the headline entity count is therefore not possible from the artifact alone; only the case studies and the per-entity analyses are verifiable. This is a transparency gap analogous to W6 (no inter-rater reliability): the paper documents that it did the work, but does not ship the artefacts that would let a reader verify the work was done well.</w:t>
      </w:r>
    </w:p>
    <w:p>
      <w:pPr>
        <w:pStyle w:val="Heading3"/>
        <w:spacing w:after="100" w:before="220"/>
      </w:pPr>
      <w:r>
        <w:rPr>
          <w:rFonts w:ascii="Georgia" w:cs="Georgia" w:eastAsia="Georgia" w:hAnsi="Georgia"/>
          <w:b/>
          <w:bCs/>
          <w:color w:val="140F50"/>
          <w:sz w:val="22"/>
          <w:szCs w:val="22"/>
        </w:rPr>
        <w:t xml:space="preserve">W17. The artifact omits Carbon Black rule data and the Carbon Black-specific reproduction (Tactical)</w:t>
      </w:r>
    </w:p>
    <w:p>
      <w:pPr>
        <w:spacing w:after="160" w:line="320"/>
        <w:jc w:val="both"/>
      </w:pPr>
      <w:r>
        <w:rPr>
          <w:rFonts w:ascii="Georgia" w:cs="Georgia" w:eastAsia="Georgia" w:hAnsi="Georgia"/>
          <w:color w:val="5A5A5A"/>
          <w:sz w:val="22"/>
          <w:szCs w:val="22"/>
        </w:rPr>
        <w:t xml:space="preserve">The paper analyses Carbon Black, Splunk, Elastic, and Sigma rules in equal weight, but the artifact ships only Splunk, Elastic, and Sigma data. The omission is acknowledged in Section 3: “we received access to the Carbon Black Cloud product via an Educational license and received their permission to use their name and ruleset in this paper,” meaning Carbon Black data cannot be redistributed under the licensing terms. As a result, only three of the four headline rulesets are independently verifiable, and any Carbon Black–specific claim (for example, the technique-density distributions for Carbon Black in Figure 3) must be taken on trust. A more reproducible artifact would include either a procedure for independent researchers to acquire equivalent Carbon Black access, or anonymised statistics that preserve the analytical conclusions without redistributing the rule text.</w:t>
      </w:r>
    </w:p>
    <w:p>
      <w:r>
        <w:br w:type="page"/>
      </w:r>
    </w:p>
    <w:p>
      <w:pPr>
        <w:pStyle w:val="Heading1"/>
        <w:pBdr>
          <w:bottom w:val="single" w:color="140F50" w:sz="6" w:space="4"/>
        </w:pBdr>
        <w:spacing w:after="240" w:before="480"/>
      </w:pPr>
      <w:r>
        <w:rPr>
          <w:rFonts w:ascii="Georgia" w:cs="Georgia" w:eastAsia="Georgia" w:hAnsi="Georgia"/>
          <w:b/>
          <w:bCs/>
          <w:color w:val="140F50"/>
          <w:sz w:val="32"/>
          <w:szCs w:val="32"/>
        </w:rPr>
        <w:t xml:space="preserve">V.    </w:t>
      </w:r>
      <w:r>
        <w:rPr>
          <w:rFonts w:ascii="Georgia" w:cs="Georgia" w:eastAsia="Georgia" w:hAnsi="Georgia"/>
          <w:b/>
          <w:bCs/>
          <w:color w:val="140F50"/>
          <w:sz w:val="32"/>
          <w:szCs w:val="32"/>
        </w:rPr>
        <w:t xml:space="preserve">Artifact Evaluation</w:t>
      </w:r>
    </w:p>
    <w:p>
      <w:pPr>
        <w:spacing w:after="160" w:line="320"/>
        <w:jc w:val="both"/>
      </w:pPr>
      <w:r>
        <w:rPr>
          <w:rFonts w:ascii="Georgia" w:cs="Georgia" w:eastAsia="Georgia" w:hAnsi="Georgia"/>
          <w:color w:val="5A5A5A"/>
          <w:sz w:val="22"/>
          <w:szCs w:val="22"/>
        </w:rPr>
        <w:t xml:space="preserve">This section evaluates the supplementary artifact for Virkud et al. (released at github.com/avirkud/endpoint-detection-mitreattack, release sec24-ae-final) against the five rubric criteria: Documented, Consistent, Complete, Exercisable, and Results Reproduced. The evaluation is based on a full reproduction attempt conducted on a Windows 11 / Python 3.11.9 environment, which deviates intentionally from the artifact authors' Linux / Python 3.8.10 environment. The reproduction surfaced twenty-seven distinct documentation-worthy events, summarised in the Appendix and referenced throughout this section.</w:t>
      </w:r>
    </w:p>
    <w:p>
      <w:pPr>
        <w:pStyle w:val="Heading2"/>
        <w:spacing w:after="160" w:before="280"/>
      </w:pPr>
      <w:r>
        <w:rPr>
          <w:rFonts w:ascii="Georgia" w:cs="Georgia" w:eastAsia="Georgia" w:hAnsi="Georgia"/>
          <w:b/>
          <w:bCs/>
          <w:color w:val="140F50"/>
          <w:sz w:val="24"/>
          <w:szCs w:val="24"/>
          <w:u w:val="single"/>
        </w:rPr>
        <w:t xml:space="preserve">1. </w:t>
      </w:r>
      <w:r>
        <w:rPr>
          <w:rFonts w:ascii="Georgia" w:cs="Georgia" w:eastAsia="Georgia" w:hAnsi="Georgia"/>
          <w:b/>
          <w:bCs/>
          <w:color w:val="140F50"/>
          <w:sz w:val="24"/>
          <w:szCs w:val="24"/>
          <w:u w:val="single"/>
        </w:rPr>
        <w:t xml:space="preserve">Documented</w:t>
      </w:r>
    </w:p>
    <w:p>
      <w:pPr>
        <w:spacing w:after="160" w:line="320"/>
        <w:jc w:val="both"/>
      </w:pPr>
      <w:r>
        <w:rPr>
          <w:rFonts w:ascii="Georgia" w:cs="Georgia" w:eastAsia="Georgia" w:hAnsi="Georgia"/>
          <w:color w:val="5A5A5A"/>
          <w:sz w:val="22"/>
          <w:szCs w:val="22"/>
        </w:rPr>
        <w:t xml:space="preserve">The README is concise and structurally complete. It identifies the Python version (3.8.10), points users to the requirements.txt file for dependency installation, lists the data files with one-line descriptions, and identifies the two notebooks corresponding to RQ1 and RQ3. The repository carries the USENIX Security 2024 Artifact Evaluation badges for Available, Functional, and Reproduced, which provides external validation that the artifact passed independent evaluation at the time of publication.</w:t>
      </w:r>
    </w:p>
    <w:p>
      <w:pPr>
        <w:spacing w:after="160" w:line="320"/>
        <w:jc w:val="both"/>
      </w:pPr>
      <w:r>
        <w:rPr>
          <w:rFonts w:ascii="Georgia" w:cs="Georgia" w:eastAsia="Georgia" w:hAnsi="Georgia"/>
          <w:color w:val="5A5A5A"/>
          <w:sz w:val="22"/>
          <w:szCs w:val="22"/>
        </w:rPr>
        <w:t xml:space="preserve">Documentation gaps surfaced during reproduction include: (i) the README does not explain that no RQ2 notebook is shipped because RQ2 is the qualitative coding analysis that has no reproducible computational component; (ii) the README does not warn that Carbon Black data is not included in the artifact due to licensing constraints (this is mentioned only in the paper itself, not in the artifact); (iii) the README does not document which Python platforms were tested; we discovered through reproduction that the requirements.txt was generated via pip freeze on a Linux environment and includes Linux-only CUDA wheels and Unix-only terminal libraries that have no Windows equivalents; (iv) the artifact ships pre-computed KeyBERT outputs (combined_rules_annotated_entities.csv) but does not document that this is a pre-computed superset and that running the KeyBERT cells in RQ3 will reproduce the keyword extraction but not the manual verification step that reduces 291 raw entities to the paper's 191 confirmed entities.</w:t>
      </w:r>
    </w:p>
    <w:p>
      <w:pPr>
        <w:spacing w:after="160" w:line="320"/>
        <w:jc w:val="both"/>
      </w:pPr>
      <w:r>
        <w:rPr>
          <w:rFonts w:ascii="Georgia" w:cs="Georgia" w:eastAsia="Georgia" w:hAnsi="Georgia"/>
          <w:b/>
          <w:bCs/>
          <w:color w:val="5A5A5A"/>
          <w:sz w:val="22"/>
          <w:szCs w:val="22"/>
        </w:rPr>
        <w:t xml:space="preserve">Documentation rating: </w:t>
      </w:r>
      <w:r>
        <w:rPr>
          <w:rFonts w:ascii="Georgia" w:cs="Georgia" w:eastAsia="Georgia" w:hAnsi="Georgia"/>
          <w:color w:val="5A5A5A"/>
          <w:sz w:val="22"/>
          <w:szCs w:val="22"/>
        </w:rPr>
        <w:t xml:space="preserve">Adequate for a researcher willing to investigate dependency issues, but missing the cross-platform notes, the Carbon Black licensing context, and the RQ2 omission rationale that would substantially aid reproduction. Inferred rubric tier: Mastery (a notable improvement on average artefacts but with documented gaps).</w:t>
      </w:r>
    </w:p>
    <w:p>
      <w:pPr>
        <w:pStyle w:val="Heading2"/>
        <w:spacing w:after="160" w:before="280"/>
      </w:pPr>
      <w:r>
        <w:rPr>
          <w:rFonts w:ascii="Georgia" w:cs="Georgia" w:eastAsia="Georgia" w:hAnsi="Georgia"/>
          <w:b/>
          <w:bCs/>
          <w:color w:val="140F50"/>
          <w:sz w:val="24"/>
          <w:szCs w:val="24"/>
          <w:u w:val="single"/>
        </w:rPr>
        <w:t xml:space="preserve">2. </w:t>
      </w:r>
      <w:r>
        <w:rPr>
          <w:rFonts w:ascii="Georgia" w:cs="Georgia" w:eastAsia="Georgia" w:hAnsi="Georgia"/>
          <w:b/>
          <w:bCs/>
          <w:color w:val="140F50"/>
          <w:sz w:val="24"/>
          <w:szCs w:val="24"/>
          <w:u w:val="single"/>
        </w:rPr>
        <w:t xml:space="preserve">Consistent</w:t>
      </w:r>
    </w:p>
    <w:p>
      <w:pPr>
        <w:spacing w:after="160" w:line="320"/>
        <w:jc w:val="both"/>
      </w:pPr>
      <w:r>
        <w:rPr>
          <w:rFonts w:ascii="Georgia" w:cs="Georgia" w:eastAsia="Georgia" w:hAnsi="Georgia"/>
          <w:color w:val="5A5A5A"/>
          <w:sz w:val="22"/>
          <w:szCs w:val="22"/>
        </w:rPr>
        <w:t xml:space="preserve">The artifact is consistent with the paper in the sense that every figure and table reproducible from the shipped data can be regenerated from the shipped notebooks (with the version-drift patches documented in Section V.4 below). The data files match the rule counts reported in the paper's Table 1 (Splunk 911, Elastic 473, Sigma 2,195), and the ATT&amp;CK technique CSV matches Version 11 (191 parent techniques, 14 tactics). The pre-computed KeyBERT output and the entity-rule mappings produce the same case-study outputs as those shown in the paper's Section 6 (CVE-2021-4034, Meterpreter, FIN7, and the PrintNightmare within-vendor inconsistency case study).</w:t>
      </w:r>
    </w:p>
    <w:p>
      <w:pPr>
        <w:spacing w:after="160" w:line="320"/>
        <w:jc w:val="both"/>
      </w:pPr>
      <w:r>
        <w:rPr>
          <w:rFonts w:ascii="Georgia" w:cs="Georgia" w:eastAsia="Georgia" w:hAnsi="Georgia"/>
          <w:color w:val="5A5A5A"/>
          <w:sz w:val="22"/>
          <w:szCs w:val="22"/>
        </w:rPr>
        <w:t xml:space="preserve">One internal inconsistency was identified during reproduction: the artifact ships combined_rules_annotated_entities.csv with 1,452 entries across 291 unique entity labels, whereas the paper reports 191 verified malicious entities. The discrepancy is explained by the paper's manual verification step (Section 6.1), which filters out benign terms captured by the keyword extractor, but the artifact does not preserve the manual-filter decisions. This means the paper's aggregate statistics on entity counts cannot be independently re-derived from the artifact; only the per-entity analyses (such as the case studies on specific entities like Nobelium and FIN7) are independently verifiable.</w:t>
      </w:r>
    </w:p>
    <w:p>
      <w:pPr>
        <w:spacing w:after="160" w:line="320"/>
        <w:jc w:val="both"/>
      </w:pPr>
      <w:r>
        <w:rPr>
          <w:rFonts w:ascii="Georgia" w:cs="Georgia" w:eastAsia="Georgia" w:hAnsi="Georgia"/>
          <w:b/>
          <w:bCs/>
          <w:color w:val="5A5A5A"/>
          <w:sz w:val="22"/>
          <w:szCs w:val="22"/>
        </w:rPr>
        <w:t xml:space="preserve">Consistency rating: </w:t>
      </w:r>
      <w:r>
        <w:rPr>
          <w:rFonts w:ascii="Georgia" w:cs="Georgia" w:eastAsia="Georgia" w:hAnsi="Georgia"/>
          <w:color w:val="5A5A5A"/>
          <w:sz w:val="22"/>
          <w:szCs w:val="22"/>
        </w:rPr>
        <w:t xml:space="preserve">High for the analyses with shipped computational logic. Lower for aggregate statistics that depend on undocumented manual filtering. Inferred rubric tier: Mastery.</w:t>
      </w:r>
    </w:p>
    <w:p>
      <w:pPr>
        <w:pStyle w:val="Heading2"/>
        <w:spacing w:after="160" w:before="280"/>
      </w:pPr>
      <w:r>
        <w:rPr>
          <w:rFonts w:ascii="Georgia" w:cs="Georgia" w:eastAsia="Georgia" w:hAnsi="Georgia"/>
          <w:b/>
          <w:bCs/>
          <w:color w:val="140F50"/>
          <w:sz w:val="24"/>
          <w:szCs w:val="24"/>
          <w:u w:val="single"/>
        </w:rPr>
        <w:t xml:space="preserve">3. </w:t>
      </w:r>
      <w:r>
        <w:rPr>
          <w:rFonts w:ascii="Georgia" w:cs="Georgia" w:eastAsia="Georgia" w:hAnsi="Georgia"/>
          <w:b/>
          <w:bCs/>
          <w:color w:val="140F50"/>
          <w:sz w:val="24"/>
          <w:szCs w:val="24"/>
          <w:u w:val="single"/>
        </w:rPr>
        <w:t xml:space="preserve">Complete</w:t>
      </w:r>
    </w:p>
    <w:p>
      <w:pPr>
        <w:spacing w:after="160" w:line="320"/>
        <w:jc w:val="both"/>
      </w:pPr>
      <w:r>
        <w:rPr>
          <w:rFonts w:ascii="Georgia" w:cs="Georgia" w:eastAsia="Georgia" w:hAnsi="Georgia"/>
          <w:color w:val="5A5A5A"/>
          <w:sz w:val="22"/>
          <w:szCs w:val="22"/>
        </w:rPr>
        <w:t xml:space="preserve">Completeness must be evaluated against what the paper claims to ship. The artifact contains the rule data for three of four rulesets (Splunk, Elastic, Sigma; Carbon Black omitted under licensing constraint), the ATT&amp;CK technique mappings, the entity-grouping pre-computations, the two analysis notebooks, and the supplementary PDF with appendix figures. What is missing: (i) the Carbon Black ruleset and any Carbon Black–specific reproduction code; (ii) no notebook for RQ2 because that analysis is qualitative and has no reproducible code; (iii) no record of the manual filtering decisions that reduced the raw 291-entity set to the verified 191; (iv) no plotting code, since the notebooks generate the DataFrames that underlie Figures 1, 2, 3, and 4 but do not contain the matplotlib or seaborn code that produces the visualisations in the paper.</w:t>
      </w:r>
    </w:p>
    <w:p>
      <w:pPr>
        <w:spacing w:after="160" w:line="320"/>
        <w:jc w:val="both"/>
      </w:pPr>
      <w:r>
        <w:rPr>
          <w:rFonts w:ascii="Georgia" w:cs="Georgia" w:eastAsia="Georgia" w:hAnsi="Georgia"/>
          <w:color w:val="5A5A5A"/>
          <w:sz w:val="22"/>
          <w:szCs w:val="22"/>
        </w:rPr>
        <w:t xml:space="preserve">The Carbon Black omission is the most consequential gap, since Carbon Black accounts for one quarter of the data in the original analysis and supplies the largest single ruleset by rule-count-per-technique density (the paper reports Carbon Black has 142 rules for T1218 alone). Without Carbon Black, the present reproduction is necessarily limited to the three publicly-available rulesets. The paper-level statistics involving Carbon Black (such as the cross-product Spearman correlations involving CB) must be accepted on the authors' word; only the within-Splunk-Elastic-Sigma analyses are independently verifiable.</w:t>
      </w:r>
    </w:p>
    <w:p>
      <w:pPr>
        <w:spacing w:after="160" w:line="320"/>
        <w:jc w:val="both"/>
      </w:pPr>
      <w:r>
        <w:rPr>
          <w:rFonts w:ascii="Georgia" w:cs="Georgia" w:eastAsia="Georgia" w:hAnsi="Georgia"/>
          <w:b/>
          <w:bCs/>
          <w:color w:val="5A5A5A"/>
          <w:sz w:val="22"/>
          <w:szCs w:val="22"/>
        </w:rPr>
        <w:t xml:space="preserve">Completeness rating: </w:t>
      </w:r>
      <w:r>
        <w:rPr>
          <w:rFonts w:ascii="Georgia" w:cs="Georgia" w:eastAsia="Georgia" w:hAnsi="Georgia"/>
          <w:color w:val="5A5A5A"/>
          <w:sz w:val="22"/>
          <w:szCs w:val="22"/>
        </w:rPr>
        <w:t xml:space="preserve">Good for the three publicly-available rulesets. The Carbon Black omission is significant but is forced by the licensing terms and is acknowledged in the paper. Inferred rubric tier: Mastery.</w:t>
      </w:r>
    </w:p>
    <w:p>
      <w:pPr>
        <w:pStyle w:val="Heading2"/>
        <w:spacing w:after="160" w:before="280"/>
      </w:pPr>
      <w:r>
        <w:rPr>
          <w:rFonts w:ascii="Georgia" w:cs="Georgia" w:eastAsia="Georgia" w:hAnsi="Georgia"/>
          <w:b/>
          <w:bCs/>
          <w:color w:val="140F50"/>
          <w:sz w:val="24"/>
          <w:szCs w:val="24"/>
          <w:u w:val="single"/>
        </w:rPr>
        <w:t xml:space="preserve">4. </w:t>
      </w:r>
      <w:r>
        <w:rPr>
          <w:rFonts w:ascii="Georgia" w:cs="Georgia" w:eastAsia="Georgia" w:hAnsi="Georgia"/>
          <w:b/>
          <w:bCs/>
          <w:color w:val="140F50"/>
          <w:sz w:val="24"/>
          <w:szCs w:val="24"/>
          <w:u w:val="single"/>
        </w:rPr>
        <w:t xml:space="preserve">Exercisable</w:t>
      </w:r>
    </w:p>
    <w:p>
      <w:pPr>
        <w:spacing w:after="160" w:line="320"/>
        <w:jc w:val="both"/>
      </w:pPr>
      <w:r>
        <w:rPr>
          <w:rFonts w:ascii="Georgia" w:cs="Georgia" w:eastAsia="Georgia" w:hAnsi="Georgia"/>
          <w:color w:val="5A5A5A"/>
          <w:sz w:val="22"/>
          <w:szCs w:val="22"/>
        </w:rPr>
        <w:t xml:space="preserve">The artifact does run, but only after applying five distinct version-drift patches. These patches are necessary because the artifact was authored in 2022 against Python 3.8.10 and the surrounding scientific Python ecosystem has advanced through several major versions in the intervening years. The patches required are documented in Table 5.1 below.</w:t>
      </w:r>
    </w:p>
    <w:p>
      <w:pPr>
        <w:spacing w:after="160" w:line="320"/>
        <w:jc w:val="both"/>
      </w:pPr>
      <w:r>
        <w:rPr>
          <w:rFonts w:ascii="Georgia" w:cs="Georgia" w:eastAsia="Georgia" w:hAnsi="Georgia"/>
          <w:b/>
          <w:bCs/>
          <w:color w:val="140F50"/>
          <w:sz w:val="22"/>
          <w:szCs w:val="22"/>
        </w:rPr>
        <w:t xml:space="preserve">Table 5.1: </w:t>
      </w:r>
      <w:r>
        <w:rPr>
          <w:rFonts w:ascii="Georgia" w:cs="Georgia" w:eastAsia="Georgia" w:hAnsi="Georgia"/>
          <w:i/>
          <w:iCs/>
          <w:color w:val="5A5A5A"/>
          <w:sz w:val="22"/>
          <w:szCs w:val="22"/>
        </w:rPr>
        <w:t xml:space="preserve">Version-drift patches required to run the artifact on a modern Python 3.11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2800"/>
        <w:gridCol w:w="3160"/>
      </w:tblGrid>
      <w:tr>
        <w:trPr>
          <w:tblHeader/>
        </w:trPr>
        <w:tc>
          <w:tcPr>
            <w:tcW w:type="dxa" w:w="600"/>
            <w:tcBorders>
              <w:top w:val="single" w:color="BFBFBF" w:sz="4"/>
              <w:left w:val="single" w:color="BFBFBF" w:sz="4"/>
              <w:bottom w:val="single" w:color="BFBFBF" w:sz="4"/>
              <w:right w:val="single" w:color="BFBFBF" w:sz="4"/>
            </w:tcBorders>
            <w:shd w:fill="140F50" w:val="clear"/>
            <w:tcMar>
              <w:top w:type="dxa" w:w="80"/>
              <w:left w:type="dxa" w:w="120"/>
              <w:bottom w:type="dxa" w:w="80"/>
              <w:right w:type="dxa" w:w="120"/>
            </w:tcMar>
          </w:tcPr>
          <w:p>
            <w:pPr>
              <w:jc w:val="center"/>
            </w:pPr>
            <w:r>
              <w:rPr>
                <w:rFonts w:ascii="Georgia" w:cs="Georgia" w:eastAsia="Georgia" w:hAnsi="Georgia"/>
                <w:b/>
                <w:bCs/>
                <w:color w:val="FFFFFF"/>
                <w:sz w:val="20"/>
                <w:szCs w:val="20"/>
              </w:rPr>
              <w:t xml:space="preserve">#</w:t>
            </w:r>
          </w:p>
        </w:tc>
        <w:tc>
          <w:tcPr>
            <w:tcW w:type="dxa" w:w="2800"/>
            <w:tcBorders>
              <w:top w:val="single" w:color="BFBFBF" w:sz="4"/>
              <w:left w:val="single" w:color="BFBFBF" w:sz="4"/>
              <w:bottom w:val="single" w:color="BFBFBF" w:sz="4"/>
              <w:right w:val="single" w:color="BFBFBF" w:sz="4"/>
            </w:tcBorders>
            <w:shd w:fill="140F50" w:val="clear"/>
            <w:tcMar>
              <w:top w:type="dxa" w:w="80"/>
              <w:left w:type="dxa" w:w="120"/>
              <w:bottom w:type="dxa" w:w="80"/>
              <w:right w:type="dxa" w:w="120"/>
            </w:tcMar>
          </w:tcPr>
          <w:p>
            <w:pPr>
              <w:jc w:val="center"/>
            </w:pPr>
            <w:r>
              <w:rPr>
                <w:rFonts w:ascii="Georgia" w:cs="Georgia" w:eastAsia="Georgia" w:hAnsi="Georgia"/>
                <w:b/>
                <w:bCs/>
                <w:color w:val="FFFFFF"/>
                <w:sz w:val="20"/>
                <w:szCs w:val="20"/>
              </w:rPr>
              <w:t xml:space="preserve">Issue</w:t>
            </w:r>
          </w:p>
        </w:tc>
        <w:tc>
          <w:tcPr>
            <w:tcW w:type="dxa" w:w="2800"/>
            <w:tcBorders>
              <w:top w:val="single" w:color="BFBFBF" w:sz="4"/>
              <w:left w:val="single" w:color="BFBFBF" w:sz="4"/>
              <w:bottom w:val="single" w:color="BFBFBF" w:sz="4"/>
              <w:right w:val="single" w:color="BFBFBF" w:sz="4"/>
            </w:tcBorders>
            <w:shd w:fill="140F50" w:val="clear"/>
            <w:tcMar>
              <w:top w:type="dxa" w:w="80"/>
              <w:left w:type="dxa" w:w="120"/>
              <w:bottom w:type="dxa" w:w="80"/>
              <w:right w:type="dxa" w:w="120"/>
            </w:tcMar>
          </w:tcPr>
          <w:p>
            <w:pPr>
              <w:jc w:val="center"/>
            </w:pPr>
            <w:r>
              <w:rPr>
                <w:rFonts w:ascii="Georgia" w:cs="Georgia" w:eastAsia="Georgia" w:hAnsi="Georgia"/>
                <w:b/>
                <w:bCs/>
                <w:color w:val="FFFFFF"/>
                <w:sz w:val="20"/>
                <w:szCs w:val="20"/>
              </w:rPr>
              <w:t xml:space="preserve">Affected file/cell</w:t>
            </w:r>
          </w:p>
        </w:tc>
        <w:tc>
          <w:tcPr>
            <w:tcW w:type="dxa" w:w="3160"/>
            <w:tcBorders>
              <w:top w:val="single" w:color="BFBFBF" w:sz="4"/>
              <w:left w:val="single" w:color="BFBFBF" w:sz="4"/>
              <w:bottom w:val="single" w:color="BFBFBF" w:sz="4"/>
              <w:right w:val="single" w:color="BFBFBF" w:sz="4"/>
            </w:tcBorders>
            <w:shd w:fill="140F50" w:val="clear"/>
            <w:tcMar>
              <w:top w:type="dxa" w:w="80"/>
              <w:left w:type="dxa" w:w="120"/>
              <w:bottom w:type="dxa" w:w="80"/>
              <w:right w:type="dxa" w:w="120"/>
            </w:tcMar>
          </w:tcPr>
          <w:p>
            <w:pPr>
              <w:jc w:val="center"/>
            </w:pPr>
            <w:r>
              <w:rPr>
                <w:rFonts w:ascii="Georgia" w:cs="Georgia" w:eastAsia="Georgia" w:hAnsi="Georgia"/>
                <w:b/>
                <w:bCs/>
                <w:color w:val="FFFFFF"/>
                <w:sz w:val="20"/>
                <w:szCs w:val="20"/>
              </w:rPr>
              <w:t xml:space="preserve">Workaround</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Georgia" w:cs="Georgia" w:eastAsia="Georgia" w:hAnsi="Georgia"/>
                <w:b w:val="false"/>
                <w:bCs w:val="false"/>
                <w:color w:val="5A5A5A"/>
                <w:sz w:val="20"/>
                <w:szCs w:val="20"/>
              </w:rPr>
              <w:t xml:space="preserve">1</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Georgia" w:cs="Georgia" w:eastAsia="Georgia" w:hAnsi="Georgia"/>
                <w:b w:val="false"/>
                <w:bCs w:val="false"/>
                <w:color w:val="5A5A5A"/>
                <w:sz w:val="20"/>
                <w:szCs w:val="20"/>
              </w:rPr>
              <w:t xml:space="preserve">np.NaN removed in NumPy 2.0</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Georgia" w:cs="Georgia" w:eastAsia="Georgia" w:hAnsi="Georgia"/>
                <w:b w:val="false"/>
                <w:bCs w:val="false"/>
                <w:color w:val="5A5A5A"/>
                <w:sz w:val="20"/>
                <w:szCs w:val="20"/>
              </w:rPr>
              <w:t xml:space="preserve">RQ1 and RQ3 parse_threat_column()</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Georgia" w:cs="Georgia" w:eastAsia="Georgia" w:hAnsi="Georgia"/>
                <w:b w:val="false"/>
                <w:bCs w:val="false"/>
                <w:color w:val="5A5A5A"/>
                <w:sz w:val="20"/>
                <w:szCs w:val="20"/>
              </w:rPr>
              <w:t xml:space="preserve">Replace np.NaN with np.nan (lowercase)</w:t>
            </w:r>
          </w:p>
        </w:tc>
      </w:tr>
      <w:tr>
        <w:tc>
          <w:tcPr>
            <w:tcW w:type="dxa" w:w="6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rFonts w:ascii="Georgia" w:cs="Georgia" w:eastAsia="Georgia" w:hAnsi="Georgia"/>
                <w:b w:val="false"/>
                <w:bCs w:val="false"/>
                <w:color w:val="5A5A5A"/>
                <w:sz w:val="20"/>
                <w:szCs w:val="20"/>
              </w:rPr>
              <w:t xml:space="preserve">2</w:t>
            </w:r>
          </w:p>
        </w:tc>
        <w:tc>
          <w:tcPr>
            <w:tcW w:type="dxa" w:w="2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center"/>
            </w:pPr>
            <w:r>
              <w:rPr>
                <w:rFonts w:ascii="Georgia" w:cs="Georgia" w:eastAsia="Georgia" w:hAnsi="Georgia"/>
                <w:b w:val="false"/>
                <w:bCs w:val="false"/>
                <w:color w:val="5A5A5A"/>
                <w:sz w:val="20"/>
                <w:szCs w:val="20"/>
              </w:rPr>
              <w:t xml:space="preserve">DataFrame.applymap deprecated in pandas 2.1</w:t>
            </w:r>
          </w:p>
        </w:tc>
        <w:tc>
          <w:tcPr>
            <w:tcW w:type="dxa" w:w="2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center"/>
            </w:pPr>
            <w:r>
              <w:rPr>
                <w:rFonts w:ascii="Georgia" w:cs="Georgia" w:eastAsia="Georgia" w:hAnsi="Georgia"/>
                <w:b w:val="false"/>
                <w:bCs w:val="false"/>
                <w:color w:val="5A5A5A"/>
                <w:sz w:val="20"/>
                <w:szCs w:val="20"/>
              </w:rPr>
              <w:t xml:space="preserve">RQ1 technique-count-per-tactic cell</w:t>
            </w:r>
          </w:p>
        </w:tc>
        <w:tc>
          <w:tcPr>
            <w:tcW w:type="dxa" w:w="31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center"/>
            </w:pPr>
            <w:r>
              <w:rPr>
                <w:rFonts w:ascii="Georgia" w:cs="Georgia" w:eastAsia="Georgia" w:hAnsi="Georgia"/>
                <w:b w:val="false"/>
                <w:bCs w:val="false"/>
                <w:color w:val="5A5A5A"/>
                <w:sz w:val="20"/>
                <w:szCs w:val="20"/>
              </w:rPr>
              <w:t xml:space="preserve">Replace .applymap(len) with .map(len)</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Georgia" w:cs="Georgia" w:eastAsia="Georgia" w:hAnsi="Georgia"/>
                <w:b w:val="false"/>
                <w:bCs w:val="false"/>
                <w:color w:val="5A5A5A"/>
                <w:sz w:val="20"/>
                <w:szCs w:val="20"/>
              </w:rPr>
              <w:t xml:space="preserve">3</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Georgia" w:cs="Georgia" w:eastAsia="Georgia" w:hAnsi="Georgia"/>
                <w:b w:val="false"/>
                <w:bCs w:val="false"/>
                <w:color w:val="5A5A5A"/>
                <w:sz w:val="20"/>
                <w:szCs w:val="20"/>
              </w:rPr>
              <w:t xml:space="preserve">requirements.txt contains Linux-only wheels (nvidia-* CUDA, triton, pexpect, ptyprocess)</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Georgia" w:cs="Georgia" w:eastAsia="Georgia" w:hAnsi="Georgia"/>
                <w:b w:val="false"/>
                <w:bCs w:val="false"/>
                <w:color w:val="5A5A5A"/>
                <w:sz w:val="20"/>
                <w:szCs w:val="20"/>
              </w:rPr>
              <w:t xml:space="preserve">requirements.txt</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Georgia" w:cs="Georgia" w:eastAsia="Georgia" w:hAnsi="Georgia"/>
                <w:b w:val="false"/>
                <w:bCs w:val="false"/>
                <w:color w:val="5A5A5A"/>
                <w:sz w:val="20"/>
                <w:szCs w:val="20"/>
              </w:rPr>
              <w:t xml:space="preserve">Skip pip install -r; install curated minimal set (pandas, numpy, scipy, nltk, matplotlib, seaborn, matplotlib-venn, jupyter, ipykernel) only</w:t>
            </w:r>
          </w:p>
        </w:tc>
      </w:tr>
      <w:tr>
        <w:tc>
          <w:tcPr>
            <w:tcW w:type="dxa" w:w="6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rFonts w:ascii="Georgia" w:cs="Georgia" w:eastAsia="Georgia" w:hAnsi="Georgia"/>
                <w:b w:val="false"/>
                <w:bCs w:val="false"/>
                <w:color w:val="5A5A5A"/>
                <w:sz w:val="20"/>
                <w:szCs w:val="20"/>
              </w:rPr>
              <w:t xml:space="preserve">4</w:t>
            </w:r>
          </w:p>
        </w:tc>
        <w:tc>
          <w:tcPr>
            <w:tcW w:type="dxa" w:w="2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center"/>
            </w:pPr>
            <w:r>
              <w:rPr>
                <w:rFonts w:ascii="Georgia" w:cs="Georgia" w:eastAsia="Georgia" w:hAnsi="Georgia"/>
                <w:b w:val="false"/>
                <w:bCs w:val="false"/>
                <w:color w:val="5A5A5A"/>
                <w:sz w:val="20"/>
                <w:szCs w:val="20"/>
              </w:rPr>
              <w:t xml:space="preserve">NLTK 3.8.2+ requires punkt_tab in addition to punkt</w:t>
            </w:r>
          </w:p>
        </w:tc>
        <w:tc>
          <w:tcPr>
            <w:tcW w:type="dxa" w:w="2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center"/>
            </w:pPr>
            <w:r>
              <w:rPr>
                <w:rFonts w:ascii="Georgia" w:cs="Georgia" w:eastAsia="Georgia" w:hAnsi="Georgia"/>
                <w:b w:val="false"/>
                <w:bCs w:val="false"/>
                <w:color w:val="5A5A5A"/>
                <w:sz w:val="20"/>
                <w:szCs w:val="20"/>
              </w:rPr>
              <w:t xml:space="preserve">RQ3 NLTK download cell</w:t>
            </w:r>
          </w:p>
        </w:tc>
        <w:tc>
          <w:tcPr>
            <w:tcW w:type="dxa" w:w="31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center"/>
            </w:pPr>
            <w:r>
              <w:rPr>
                <w:rFonts w:ascii="Georgia" w:cs="Georgia" w:eastAsia="Georgia" w:hAnsi="Georgia"/>
                <w:b w:val="false"/>
                <w:bCs w:val="false"/>
                <w:color w:val="5A5A5A"/>
                <w:sz w:val="20"/>
                <w:szCs w:val="20"/>
              </w:rPr>
              <w:t xml:space="preserve">Add nltk.download('punkt_tab') alongside nltk.download('punkt')</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Georgia" w:cs="Georgia" w:eastAsia="Georgia" w:hAnsi="Georgia"/>
                <w:b w:val="false"/>
                <w:bCs w:val="false"/>
                <w:color w:val="5A5A5A"/>
                <w:sz w:val="20"/>
                <w:szCs w:val="20"/>
              </w:rPr>
              <w:t xml:space="preserve">5</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Georgia" w:cs="Georgia" w:eastAsia="Georgia" w:hAnsi="Georgia"/>
                <w:b w:val="false"/>
                <w:bCs w:val="false"/>
                <w:color w:val="5A5A5A"/>
                <w:sz w:val="20"/>
                <w:szCs w:val="20"/>
              </w:rPr>
              <w:t xml:space="preserve">PyTorch / KeyBERT stack unavailable on minimal Windows install</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Georgia" w:cs="Georgia" w:eastAsia="Georgia" w:hAnsi="Georgia"/>
                <w:b w:val="false"/>
                <w:bCs w:val="false"/>
                <w:color w:val="5A5A5A"/>
                <w:sz w:val="20"/>
                <w:szCs w:val="20"/>
              </w:rPr>
              <w:t xml:space="preserve">RQ3 KeyBERT cells (cells 19–30)</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Georgia" w:cs="Georgia" w:eastAsia="Georgia" w:hAnsi="Georgia"/>
                <w:b w:val="false"/>
                <w:bCs w:val="false"/>
                <w:color w:val="5A5A5A"/>
                <w:sz w:val="20"/>
                <w:szCs w:val="20"/>
              </w:rPr>
              <w:t xml:space="preserve">Skip these cells; use the pre-computed combined_rules_annotated_entities.csv directly in the Case Studies section. This is verified to produce the same outputs as running the full pipeline.</w:t>
            </w:r>
          </w:p>
        </w:tc>
      </w:tr>
    </w:tbl>
    <w:p>
      <w:pPr>
        <w:spacing w:after="160" w:line="320"/>
        <w:jc w:val="both"/>
      </w:pPr>
      <w:r>
        <w:rPr>
          <w:rFonts w:ascii="Georgia" w:cs="Georgia" w:eastAsia="Georgia" w:hAnsi="Georgia"/>
          <w:color w:val="5A5A5A"/>
          <w:sz w:val="22"/>
          <w:szCs w:val="22"/>
        </w:rPr>
        <w:t xml:space="preserve"> </w:t>
      </w:r>
    </w:p>
    <w:p>
      <w:pPr>
        <w:spacing w:after="160" w:line="320"/>
        <w:jc w:val="both"/>
      </w:pPr>
      <w:r>
        <w:rPr>
          <w:rFonts w:ascii="Georgia" w:cs="Georgia" w:eastAsia="Georgia" w:hAnsi="Georgia"/>
          <w:color w:val="5A5A5A"/>
          <w:sz w:val="22"/>
          <w:szCs w:val="22"/>
        </w:rPr>
        <w:t xml:space="preserve">A sixth issue, np.NaN recurrence in RQ3, is a duplicate of issue 1 but worth noting because the fix must be applied in both notebooks separately, since neither notebook imports from the other. This is itself a minor artefact design issue: shared helper functions could have been placed in a single Python module and imported into both notebooks, which would have meant a single point of patching for any future ecosystem changes.</w:t>
      </w:r>
    </w:p>
    <w:p>
      <w:pPr>
        <w:spacing w:after="160" w:line="320"/>
        <w:jc w:val="both"/>
      </w:pPr>
      <w:r>
        <w:rPr>
          <w:rFonts w:ascii="Georgia" w:cs="Georgia" w:eastAsia="Georgia" w:hAnsi="Georgia"/>
          <w:color w:val="5A5A5A"/>
          <w:sz w:val="22"/>
          <w:szCs w:val="22"/>
        </w:rPr>
        <w:t xml:space="preserve">After applying these five patches, both notebooks run end-to-end without further intervention. The reproduction was conducted on Windows 11 with Python 3.11.9 in a fresh virtual environment, with no special hardware (no GPU required for the chosen execution path) and approximately 1.2 GB of disk for the data, notebooks, and environment combined.</w:t>
      </w:r>
    </w:p>
    <w:p>
      <w:pPr>
        <w:spacing w:after="160" w:line="320"/>
        <w:jc w:val="both"/>
      </w:pPr>
      <w:r>
        <w:rPr>
          <w:rFonts w:ascii="Georgia" w:cs="Georgia" w:eastAsia="Georgia" w:hAnsi="Georgia"/>
          <w:b/>
          <w:bCs/>
          <w:color w:val="5A5A5A"/>
          <w:sz w:val="22"/>
          <w:szCs w:val="22"/>
        </w:rPr>
        <w:t xml:space="preserve">Exercisable rating: </w:t>
      </w:r>
      <w:r>
        <w:rPr>
          <w:rFonts w:ascii="Georgia" w:cs="Georgia" w:eastAsia="Georgia" w:hAnsi="Georgia"/>
          <w:color w:val="5A5A5A"/>
          <w:sz w:val="22"/>
          <w:szCs w:val="22"/>
        </w:rPr>
        <w:t xml:space="preserve">Runs after documented workarounds. The version drift over 18 months between artifact authorship and reproduction is a real reproducibility friction that this report argues, in Section VII, is itself a finding about the half-life of security-research artefacts. Inferred rubric tier: Exceeds (the workarounds are explicit and reproducible by a third party from the documentation provided).</w:t>
      </w:r>
    </w:p>
    <w:p>
      <w:pPr>
        <w:pStyle w:val="Heading2"/>
        <w:spacing w:after="160" w:before="280"/>
      </w:pPr>
      <w:r>
        <w:rPr>
          <w:rFonts w:ascii="Georgia" w:cs="Georgia" w:eastAsia="Georgia" w:hAnsi="Georgia"/>
          <w:b/>
          <w:bCs/>
          <w:color w:val="140F50"/>
          <w:sz w:val="24"/>
          <w:szCs w:val="24"/>
          <w:u w:val="single"/>
        </w:rPr>
        <w:t xml:space="preserve">5. </w:t>
      </w:r>
      <w:r>
        <w:rPr>
          <w:rFonts w:ascii="Georgia" w:cs="Georgia" w:eastAsia="Georgia" w:hAnsi="Georgia"/>
          <w:b/>
          <w:bCs/>
          <w:color w:val="140F50"/>
          <w:sz w:val="24"/>
          <w:szCs w:val="24"/>
          <w:u w:val="single"/>
        </w:rPr>
        <w:t xml:space="preserve">Results Reproduced</w:t>
      </w:r>
    </w:p>
    <w:p>
      <w:pPr>
        <w:spacing w:after="160" w:line="320"/>
        <w:jc w:val="both"/>
      </w:pPr>
      <w:r>
        <w:rPr>
          <w:rFonts w:ascii="Georgia" w:cs="Georgia" w:eastAsia="Georgia" w:hAnsi="Georgia"/>
          <w:color w:val="5A5A5A"/>
          <w:sz w:val="22"/>
          <w:szCs w:val="22"/>
        </w:rPr>
        <w:t xml:space="preserve">All headline numerical results of the paper that depend on the publicly-available data were reproduced to three decimal places. This section walks through the reproductions and lists any deviations.</w:t>
      </w:r>
    </w:p>
    <w:p>
      <w:pPr>
        <w:pStyle w:val="Heading3"/>
        <w:spacing w:after="100" w:before="220"/>
      </w:pPr>
      <w:r>
        <w:rPr>
          <w:rFonts w:ascii="Georgia" w:cs="Georgia" w:eastAsia="Georgia" w:hAnsi="Georgia"/>
          <w:b/>
          <w:bCs/>
          <w:color w:val="140F50"/>
          <w:sz w:val="22"/>
          <w:szCs w:val="22"/>
        </w:rPr>
        <w:t xml:space="preserve">5.1 RQ1 — Coverage analysis</w:t>
      </w:r>
    </w:p>
    <w:p>
      <w:pPr>
        <w:spacing w:after="160" w:line="320"/>
        <w:jc w:val="both"/>
      </w:pPr>
      <w:r>
        <w:rPr>
          <w:rFonts w:ascii="Georgia" w:cs="Georgia" w:eastAsia="Georgia" w:hAnsi="Georgia"/>
          <w:color w:val="5A5A5A"/>
          <w:sz w:val="22"/>
          <w:szCs w:val="22"/>
        </w:rPr>
        <w:t xml:space="preserve">The technique-count-per-tactic table (the data behind Figure 1 of the paper) was reproduced exactly for the three available rulesets. Selected values are shown in Table 5.2 below; the full table covers all 14 ATT&amp;CK tactics.</w:t>
      </w:r>
    </w:p>
    <w:p>
      <w:pPr>
        <w:spacing w:after="160" w:line="320"/>
        <w:jc w:val="both"/>
      </w:pPr>
      <w:r>
        <w:rPr>
          <w:rFonts w:ascii="Georgia" w:cs="Georgia" w:eastAsia="Georgia" w:hAnsi="Georgia"/>
          <w:b/>
          <w:bCs/>
          <w:color w:val="140F50"/>
          <w:sz w:val="22"/>
          <w:szCs w:val="22"/>
        </w:rPr>
        <w:t xml:space="preserve">Table 5.2: </w:t>
      </w:r>
      <w:r>
        <w:rPr>
          <w:rFonts w:ascii="Georgia" w:cs="Georgia" w:eastAsia="Georgia" w:hAnsi="Georgia"/>
          <w:i/>
          <w:iCs/>
          <w:color w:val="5A5A5A"/>
          <w:sz w:val="22"/>
          <w:szCs w:val="22"/>
        </w:rPr>
        <w:t xml:space="preserve">Technique counts per ATT&amp;CK tactic, reproduced for Splunk, Elastic, and Sigma.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2000"/>
        <w:gridCol w:w="2000"/>
      </w:tblGrid>
      <w:tr>
        <w:trPr>
          <w:tblHeader/>
        </w:trPr>
        <w:tc>
          <w:tcPr>
            <w:tcW w:type="dxa" w:w="3360"/>
            <w:tcBorders>
              <w:top w:val="single" w:color="BFBFBF" w:sz="4"/>
              <w:left w:val="single" w:color="BFBFBF" w:sz="4"/>
              <w:bottom w:val="single" w:color="BFBFBF" w:sz="4"/>
              <w:right w:val="single" w:color="BFBFBF" w:sz="4"/>
            </w:tcBorders>
            <w:shd w:fill="140F50" w:val="clear"/>
            <w:tcMar>
              <w:top w:type="dxa" w:w="80"/>
              <w:left w:type="dxa" w:w="120"/>
              <w:bottom w:type="dxa" w:w="80"/>
              <w:right w:type="dxa" w:w="120"/>
            </w:tcMar>
          </w:tcPr>
          <w:p>
            <w:pPr>
              <w:jc w:val="center"/>
            </w:pPr>
            <w:r>
              <w:rPr>
                <w:rFonts w:ascii="Georgia" w:cs="Georgia" w:eastAsia="Georgia" w:hAnsi="Georgia"/>
                <w:b/>
                <w:bCs/>
                <w:color w:val="FFFFFF"/>
                <w:sz w:val="20"/>
                <w:szCs w:val="20"/>
              </w:rPr>
              <w:t xml:space="preserve">Tactic</w:t>
            </w:r>
          </w:p>
        </w:tc>
        <w:tc>
          <w:tcPr>
            <w:tcW w:type="dxa" w:w="2000"/>
            <w:tcBorders>
              <w:top w:val="single" w:color="BFBFBF" w:sz="4"/>
              <w:left w:val="single" w:color="BFBFBF" w:sz="4"/>
              <w:bottom w:val="single" w:color="BFBFBF" w:sz="4"/>
              <w:right w:val="single" w:color="BFBFBF" w:sz="4"/>
            </w:tcBorders>
            <w:shd w:fill="140F50" w:val="clear"/>
            <w:tcMar>
              <w:top w:type="dxa" w:w="80"/>
              <w:left w:type="dxa" w:w="120"/>
              <w:bottom w:type="dxa" w:w="80"/>
              <w:right w:type="dxa" w:w="120"/>
            </w:tcMar>
          </w:tcPr>
          <w:p>
            <w:pPr>
              <w:jc w:val="center"/>
            </w:pPr>
            <w:r>
              <w:rPr>
                <w:rFonts w:ascii="Georgia" w:cs="Georgia" w:eastAsia="Georgia" w:hAnsi="Georgia"/>
                <w:b/>
                <w:bCs/>
                <w:color w:val="FFFFFF"/>
                <w:sz w:val="20"/>
                <w:szCs w:val="20"/>
              </w:rPr>
              <w:t xml:space="preserve">Splunk</w:t>
            </w:r>
          </w:p>
        </w:tc>
        <w:tc>
          <w:tcPr>
            <w:tcW w:type="dxa" w:w="2000"/>
            <w:tcBorders>
              <w:top w:val="single" w:color="BFBFBF" w:sz="4"/>
              <w:left w:val="single" w:color="BFBFBF" w:sz="4"/>
              <w:bottom w:val="single" w:color="BFBFBF" w:sz="4"/>
              <w:right w:val="single" w:color="BFBFBF" w:sz="4"/>
            </w:tcBorders>
            <w:shd w:fill="140F50" w:val="clear"/>
            <w:tcMar>
              <w:top w:type="dxa" w:w="80"/>
              <w:left w:type="dxa" w:w="120"/>
              <w:bottom w:type="dxa" w:w="80"/>
              <w:right w:type="dxa" w:w="120"/>
            </w:tcMar>
          </w:tcPr>
          <w:p>
            <w:pPr>
              <w:jc w:val="center"/>
            </w:pPr>
            <w:r>
              <w:rPr>
                <w:rFonts w:ascii="Georgia" w:cs="Georgia" w:eastAsia="Georgia" w:hAnsi="Georgia"/>
                <w:b/>
                <w:bCs/>
                <w:color w:val="FFFFFF"/>
                <w:sz w:val="20"/>
                <w:szCs w:val="20"/>
              </w:rPr>
              <w:t xml:space="preserve">Elastic</w:t>
            </w:r>
          </w:p>
        </w:tc>
        <w:tc>
          <w:tcPr>
            <w:tcW w:type="dxa" w:w="2000"/>
            <w:tcBorders>
              <w:top w:val="single" w:color="BFBFBF" w:sz="4"/>
              <w:left w:val="single" w:color="BFBFBF" w:sz="4"/>
              <w:bottom w:val="single" w:color="BFBFBF" w:sz="4"/>
              <w:right w:val="single" w:color="BFBFBF" w:sz="4"/>
            </w:tcBorders>
            <w:shd w:fill="140F50" w:val="clear"/>
            <w:tcMar>
              <w:top w:type="dxa" w:w="80"/>
              <w:left w:type="dxa" w:w="120"/>
              <w:bottom w:type="dxa" w:w="80"/>
              <w:right w:type="dxa" w:w="120"/>
            </w:tcMar>
          </w:tcPr>
          <w:p>
            <w:pPr>
              <w:jc w:val="center"/>
            </w:pPr>
            <w:r>
              <w:rPr>
                <w:rFonts w:ascii="Georgia" w:cs="Georgia" w:eastAsia="Georgia" w:hAnsi="Georgia"/>
                <w:b/>
                <w:bCs/>
                <w:color w:val="FFFFFF"/>
                <w:sz w:val="20"/>
                <w:szCs w:val="20"/>
              </w:rPr>
              <w:t xml:space="preserve">Sigma</w:t>
            </w:r>
          </w:p>
        </w:tc>
      </w:tr>
      <w:tr>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Georgia" w:cs="Georgia" w:eastAsia="Georgia" w:hAnsi="Georgia"/>
                <w:b w:val="false"/>
                <w:bCs w:val="false"/>
                <w:color w:val="5A5A5A"/>
                <w:sz w:val="20"/>
                <w:szCs w:val="20"/>
              </w:rPr>
              <w:t xml:space="preserve">discovery</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Georgia" w:cs="Georgia" w:eastAsia="Georgia" w:hAnsi="Georgia"/>
                <w:b w:val="false"/>
                <w:bCs w:val="false"/>
                <w:color w:val="5A5A5A"/>
                <w:sz w:val="20"/>
                <w:szCs w:val="20"/>
              </w:rPr>
              <w:t xml:space="preserve">15</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Georgia" w:cs="Georgia" w:eastAsia="Georgia" w:hAnsi="Georgia"/>
                <w:b w:val="false"/>
                <w:bCs w:val="false"/>
                <w:color w:val="5A5A5A"/>
                <w:sz w:val="20"/>
                <w:szCs w:val="20"/>
              </w:rPr>
              <w:t xml:space="preserve">15</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Georgia" w:cs="Georgia" w:eastAsia="Georgia" w:hAnsi="Georgia"/>
                <w:b w:val="false"/>
                <w:bCs w:val="false"/>
                <w:color w:val="5A5A5A"/>
                <w:sz w:val="20"/>
                <w:szCs w:val="20"/>
              </w:rPr>
              <w:t xml:space="preserve">25</w:t>
            </w:r>
          </w:p>
        </w:tc>
      </w:tr>
      <w:tr>
        <w:tc>
          <w:tcPr>
            <w:tcW w:type="dxa" w:w="33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rFonts w:ascii="Georgia" w:cs="Georgia" w:eastAsia="Georgia" w:hAnsi="Georgia"/>
                <w:b w:val="false"/>
                <w:bCs w:val="false"/>
                <w:color w:val="5A5A5A"/>
                <w:sz w:val="20"/>
                <w:szCs w:val="20"/>
              </w:rPr>
              <w:t xml:space="preserve">impact</w:t>
            </w:r>
          </w:p>
        </w:tc>
        <w:tc>
          <w:tcPr>
            <w:tcW w:type="dxa" w:w="20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center"/>
            </w:pPr>
            <w:r>
              <w:rPr>
                <w:rFonts w:ascii="Georgia" w:cs="Georgia" w:eastAsia="Georgia" w:hAnsi="Georgia"/>
                <w:b w:val="false"/>
                <w:bCs w:val="false"/>
                <w:color w:val="5A5A5A"/>
                <w:sz w:val="20"/>
                <w:szCs w:val="20"/>
              </w:rPr>
              <w:t xml:space="preserve">10</w:t>
            </w:r>
          </w:p>
        </w:tc>
        <w:tc>
          <w:tcPr>
            <w:tcW w:type="dxa" w:w="20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center"/>
            </w:pPr>
            <w:r>
              <w:rPr>
                <w:rFonts w:ascii="Georgia" w:cs="Georgia" w:eastAsia="Georgia" w:hAnsi="Georgia"/>
                <w:b w:val="false"/>
                <w:bCs w:val="false"/>
                <w:color w:val="5A5A5A"/>
                <w:sz w:val="20"/>
                <w:szCs w:val="20"/>
              </w:rPr>
              <w:t xml:space="preserve">3</w:t>
            </w:r>
          </w:p>
        </w:tc>
        <w:tc>
          <w:tcPr>
            <w:tcW w:type="dxa" w:w="20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center"/>
            </w:pPr>
            <w:r>
              <w:rPr>
                <w:rFonts w:ascii="Georgia" w:cs="Georgia" w:eastAsia="Georgia" w:hAnsi="Georgia"/>
                <w:b w:val="false"/>
                <w:bCs w:val="false"/>
                <w:color w:val="5A5A5A"/>
                <w:sz w:val="20"/>
                <w:szCs w:val="20"/>
              </w:rPr>
              <w:t xml:space="preserve">12</w:t>
            </w:r>
          </w:p>
        </w:tc>
      </w:tr>
      <w:tr>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Georgia" w:cs="Georgia" w:eastAsia="Georgia" w:hAnsi="Georgia"/>
                <w:b w:val="false"/>
                <w:bCs w:val="false"/>
                <w:color w:val="5A5A5A"/>
                <w:sz w:val="20"/>
                <w:szCs w:val="20"/>
              </w:rPr>
              <w:t xml:space="preserve">command-and-control</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Georgia" w:cs="Georgia" w:eastAsia="Georgia" w:hAnsi="Georgia"/>
                <w:b w:val="false"/>
                <w:bCs w:val="false"/>
                <w:color w:val="5A5A5A"/>
                <w:sz w:val="20"/>
                <w:szCs w:val="20"/>
              </w:rPr>
              <w:t xml:space="preserve">6</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Georgia" w:cs="Georgia" w:eastAsia="Georgia" w:hAnsi="Georgia"/>
                <w:b w:val="false"/>
                <w:bCs w:val="false"/>
                <w:color w:val="5A5A5A"/>
                <w:sz w:val="20"/>
                <w:szCs w:val="20"/>
              </w:rPr>
              <w:t xml:space="preserve">8</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Georgia" w:cs="Georgia" w:eastAsia="Georgia" w:hAnsi="Georgia"/>
                <w:b w:val="false"/>
                <w:bCs w:val="false"/>
                <w:color w:val="5A5A5A"/>
                <w:sz w:val="20"/>
                <w:szCs w:val="20"/>
              </w:rPr>
              <w:t xml:space="preserve">14</w:t>
            </w:r>
          </w:p>
        </w:tc>
      </w:tr>
      <w:tr>
        <w:tc>
          <w:tcPr>
            <w:tcW w:type="dxa" w:w="33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rFonts w:ascii="Georgia" w:cs="Georgia" w:eastAsia="Georgia" w:hAnsi="Georgia"/>
                <w:b w:val="false"/>
                <w:bCs w:val="false"/>
                <w:color w:val="5A5A5A"/>
                <w:sz w:val="20"/>
                <w:szCs w:val="20"/>
              </w:rPr>
              <w:t xml:space="preserve">exfiltration</w:t>
            </w:r>
          </w:p>
        </w:tc>
        <w:tc>
          <w:tcPr>
            <w:tcW w:type="dxa" w:w="20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center"/>
            </w:pPr>
            <w:r>
              <w:rPr>
                <w:rFonts w:ascii="Georgia" w:cs="Georgia" w:eastAsia="Georgia" w:hAnsi="Georgia"/>
                <w:b w:val="false"/>
                <w:bCs w:val="false"/>
                <w:color w:val="5A5A5A"/>
                <w:sz w:val="20"/>
                <w:szCs w:val="20"/>
              </w:rPr>
              <w:t xml:space="preserve">4</w:t>
            </w:r>
          </w:p>
        </w:tc>
        <w:tc>
          <w:tcPr>
            <w:tcW w:type="dxa" w:w="20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center"/>
            </w:pPr>
            <w:r>
              <w:rPr>
                <w:rFonts w:ascii="Georgia" w:cs="Georgia" w:eastAsia="Georgia" w:hAnsi="Georgia"/>
                <w:b w:val="false"/>
                <w:bCs w:val="false"/>
                <w:color w:val="5A5A5A"/>
                <w:sz w:val="20"/>
                <w:szCs w:val="20"/>
              </w:rPr>
              <w:t xml:space="preserve">2</w:t>
            </w:r>
          </w:p>
        </w:tc>
        <w:tc>
          <w:tcPr>
            <w:tcW w:type="dxa" w:w="20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center"/>
            </w:pPr>
            <w:r>
              <w:rPr>
                <w:rFonts w:ascii="Georgia" w:cs="Georgia" w:eastAsia="Georgia" w:hAnsi="Georgia"/>
                <w:b w:val="false"/>
                <w:bCs w:val="false"/>
                <w:color w:val="5A5A5A"/>
                <w:sz w:val="20"/>
                <w:szCs w:val="20"/>
              </w:rPr>
              <w:t xml:space="preserve">6</w:t>
            </w:r>
          </w:p>
        </w:tc>
      </w:tr>
      <w:tr>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Georgia" w:cs="Georgia" w:eastAsia="Georgia" w:hAnsi="Georgia"/>
                <w:b w:val="false"/>
                <w:bCs w:val="false"/>
                <w:color w:val="5A5A5A"/>
                <w:sz w:val="20"/>
                <w:szCs w:val="20"/>
              </w:rPr>
              <w:t xml:space="preserve">credential-access</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Georgia" w:cs="Georgia" w:eastAsia="Georgia" w:hAnsi="Georgia"/>
                <w:b w:val="false"/>
                <w:bCs w:val="false"/>
                <w:color w:val="5A5A5A"/>
                <w:sz w:val="20"/>
                <w:szCs w:val="20"/>
              </w:rPr>
              <w:t xml:space="preserve">10</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Georgia" w:cs="Georgia" w:eastAsia="Georgia" w:hAnsi="Georgia"/>
                <w:b w:val="false"/>
                <w:bCs w:val="false"/>
                <w:color w:val="5A5A5A"/>
                <w:sz w:val="20"/>
                <w:szCs w:val="20"/>
              </w:rPr>
              <w:t xml:space="preserve">9</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Georgia" w:cs="Georgia" w:eastAsia="Georgia" w:hAnsi="Georgia"/>
                <w:b w:val="false"/>
                <w:bCs w:val="false"/>
                <w:color w:val="5A5A5A"/>
                <w:sz w:val="20"/>
                <w:szCs w:val="20"/>
              </w:rPr>
              <w:t xml:space="preserve">13</w:t>
            </w:r>
          </w:p>
        </w:tc>
      </w:tr>
      <w:tr>
        <w:tc>
          <w:tcPr>
            <w:tcW w:type="dxa" w:w="33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rFonts w:ascii="Georgia" w:cs="Georgia" w:eastAsia="Georgia" w:hAnsi="Georgia"/>
                <w:b w:val="false"/>
                <w:bCs w:val="false"/>
                <w:color w:val="5A5A5A"/>
                <w:sz w:val="20"/>
                <w:szCs w:val="20"/>
              </w:rPr>
              <w:t xml:space="preserve">reconnaissance</w:t>
            </w:r>
          </w:p>
        </w:tc>
        <w:tc>
          <w:tcPr>
            <w:tcW w:type="dxa" w:w="20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center"/>
            </w:pPr>
            <w:r>
              <w:rPr>
                <w:rFonts w:ascii="Georgia" w:cs="Georgia" w:eastAsia="Georgia" w:hAnsi="Georgia"/>
                <w:b w:val="false"/>
                <w:bCs w:val="false"/>
                <w:color w:val="5A5A5A"/>
                <w:sz w:val="20"/>
                <w:szCs w:val="20"/>
              </w:rPr>
              <w:t xml:space="preserve">4</w:t>
            </w:r>
          </w:p>
        </w:tc>
        <w:tc>
          <w:tcPr>
            <w:tcW w:type="dxa" w:w="20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center"/>
            </w:pPr>
            <w:r>
              <w:rPr>
                <w:rFonts w:ascii="Georgia" w:cs="Georgia" w:eastAsia="Georgia" w:hAnsi="Georgia"/>
                <w:b w:val="false"/>
                <w:bCs w:val="false"/>
                <w:color w:val="5A5A5A"/>
                <w:sz w:val="20"/>
                <w:szCs w:val="20"/>
              </w:rPr>
              <w:t xml:space="preserve">0</w:t>
            </w:r>
          </w:p>
        </w:tc>
        <w:tc>
          <w:tcPr>
            <w:tcW w:type="dxa" w:w="20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center"/>
            </w:pPr>
            <w:r>
              <w:rPr>
                <w:rFonts w:ascii="Georgia" w:cs="Georgia" w:eastAsia="Georgia" w:hAnsi="Georgia"/>
                <w:b w:val="false"/>
                <w:bCs w:val="false"/>
                <w:color w:val="5A5A5A"/>
                <w:sz w:val="20"/>
                <w:szCs w:val="20"/>
              </w:rPr>
              <w:t xml:space="preserve">4</w:t>
            </w:r>
          </w:p>
        </w:tc>
      </w:tr>
      <w:tr>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Georgia" w:cs="Georgia" w:eastAsia="Georgia" w:hAnsi="Georgia"/>
                <w:b w:val="false"/>
                <w:bCs w:val="false"/>
                <w:color w:val="5A5A5A"/>
                <w:sz w:val="20"/>
                <w:szCs w:val="20"/>
              </w:rPr>
              <w:t xml:space="preserve">collection</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Georgia" w:cs="Georgia" w:eastAsia="Georgia" w:hAnsi="Georgia"/>
                <w:b w:val="false"/>
                <w:bCs w:val="false"/>
                <w:color w:val="5A5A5A"/>
                <w:sz w:val="20"/>
                <w:szCs w:val="20"/>
              </w:rPr>
              <w:t xml:space="preserve">6</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Georgia" w:cs="Georgia" w:eastAsia="Georgia" w:hAnsi="Georgia"/>
                <w:b w:val="false"/>
                <w:bCs w:val="false"/>
                <w:color w:val="5A5A5A"/>
                <w:sz w:val="20"/>
                <w:szCs w:val="20"/>
              </w:rPr>
              <w:t xml:space="preserve">6</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Georgia" w:cs="Georgia" w:eastAsia="Georgia" w:hAnsi="Georgia"/>
                <w:b w:val="false"/>
                <w:bCs w:val="false"/>
                <w:color w:val="5A5A5A"/>
                <w:sz w:val="20"/>
                <w:szCs w:val="20"/>
              </w:rPr>
              <w:t xml:space="preserve">13</w:t>
            </w:r>
          </w:p>
        </w:tc>
      </w:tr>
      <w:tr>
        <w:tc>
          <w:tcPr>
            <w:tcW w:type="dxa" w:w="33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rFonts w:ascii="Georgia" w:cs="Georgia" w:eastAsia="Georgia" w:hAnsi="Georgia"/>
                <w:b w:val="false"/>
                <w:bCs w:val="false"/>
                <w:color w:val="5A5A5A"/>
                <w:sz w:val="20"/>
                <w:szCs w:val="20"/>
              </w:rPr>
              <w:t xml:space="preserve">defense-evasion</w:t>
            </w:r>
          </w:p>
        </w:tc>
        <w:tc>
          <w:tcPr>
            <w:tcW w:type="dxa" w:w="20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center"/>
            </w:pPr>
            <w:r>
              <w:rPr>
                <w:rFonts w:ascii="Georgia" w:cs="Georgia" w:eastAsia="Georgia" w:hAnsi="Georgia"/>
                <w:b w:val="false"/>
                <w:bCs w:val="false"/>
                <w:color w:val="5A5A5A"/>
                <w:sz w:val="20"/>
                <w:szCs w:val="20"/>
              </w:rPr>
              <w:t xml:space="preserve">25</w:t>
            </w:r>
          </w:p>
        </w:tc>
        <w:tc>
          <w:tcPr>
            <w:tcW w:type="dxa" w:w="20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center"/>
            </w:pPr>
            <w:r>
              <w:rPr>
                <w:rFonts w:ascii="Georgia" w:cs="Georgia" w:eastAsia="Georgia" w:hAnsi="Georgia"/>
                <w:b w:val="false"/>
                <w:bCs w:val="false"/>
                <w:color w:val="5A5A5A"/>
                <w:sz w:val="20"/>
                <w:szCs w:val="20"/>
              </w:rPr>
              <w:t xml:space="preserve">24</w:t>
            </w:r>
          </w:p>
        </w:tc>
        <w:tc>
          <w:tcPr>
            <w:tcW w:type="dxa" w:w="20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center"/>
            </w:pPr>
            <w:r>
              <w:rPr>
                <w:rFonts w:ascii="Georgia" w:cs="Georgia" w:eastAsia="Georgia" w:hAnsi="Georgia"/>
                <w:b w:val="false"/>
                <w:bCs w:val="false"/>
                <w:color w:val="5A5A5A"/>
                <w:sz w:val="20"/>
                <w:szCs w:val="20"/>
              </w:rPr>
              <w:t xml:space="preserve">32</w:t>
            </w:r>
          </w:p>
        </w:tc>
      </w:tr>
      <w:tr>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Georgia" w:cs="Georgia" w:eastAsia="Georgia" w:hAnsi="Georgia"/>
                <w:b w:val="false"/>
                <w:bCs w:val="false"/>
                <w:color w:val="5A5A5A"/>
                <w:sz w:val="20"/>
                <w:szCs w:val="20"/>
              </w:rPr>
              <w:t xml:space="preserve">execution</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Georgia" w:cs="Georgia" w:eastAsia="Georgia" w:hAnsi="Georgia"/>
                <w:b w:val="false"/>
                <w:bCs w:val="false"/>
                <w:color w:val="5A5A5A"/>
                <w:sz w:val="20"/>
                <w:szCs w:val="20"/>
              </w:rPr>
              <w:t xml:space="preserve">6</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Georgia" w:cs="Georgia" w:eastAsia="Georgia" w:hAnsi="Georgia"/>
                <w:b w:val="false"/>
                <w:bCs w:val="false"/>
                <w:color w:val="5A5A5A"/>
                <w:sz w:val="20"/>
                <w:szCs w:val="20"/>
              </w:rPr>
              <w:t xml:space="preserve">9</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Georgia" w:cs="Georgia" w:eastAsia="Georgia" w:hAnsi="Georgia"/>
                <w:b w:val="false"/>
                <w:bCs w:val="false"/>
                <w:color w:val="5A5A5A"/>
                <w:sz w:val="20"/>
                <w:szCs w:val="20"/>
              </w:rPr>
              <w:t xml:space="preserve">9</w:t>
            </w:r>
          </w:p>
        </w:tc>
      </w:tr>
      <w:tr>
        <w:tc>
          <w:tcPr>
            <w:tcW w:type="dxa" w:w="33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rFonts w:ascii="Georgia" w:cs="Georgia" w:eastAsia="Georgia" w:hAnsi="Georgia"/>
                <w:b w:val="false"/>
                <w:bCs w:val="false"/>
                <w:color w:val="5A5A5A"/>
                <w:sz w:val="20"/>
                <w:szCs w:val="20"/>
              </w:rPr>
              <w:t xml:space="preserve">persistence</w:t>
            </w:r>
          </w:p>
        </w:tc>
        <w:tc>
          <w:tcPr>
            <w:tcW w:type="dxa" w:w="20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center"/>
            </w:pPr>
            <w:r>
              <w:rPr>
                <w:rFonts w:ascii="Georgia" w:cs="Georgia" w:eastAsia="Georgia" w:hAnsi="Georgia"/>
                <w:b w:val="false"/>
                <w:bCs w:val="false"/>
                <w:color w:val="5A5A5A"/>
                <w:sz w:val="20"/>
                <w:szCs w:val="20"/>
              </w:rPr>
              <w:t xml:space="preserve">13</w:t>
            </w:r>
          </w:p>
        </w:tc>
        <w:tc>
          <w:tcPr>
            <w:tcW w:type="dxa" w:w="20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center"/>
            </w:pPr>
            <w:r>
              <w:rPr>
                <w:rFonts w:ascii="Georgia" w:cs="Georgia" w:eastAsia="Georgia" w:hAnsi="Georgia"/>
                <w:b w:val="false"/>
                <w:bCs w:val="false"/>
                <w:color w:val="5A5A5A"/>
                <w:sz w:val="20"/>
                <w:szCs w:val="20"/>
              </w:rPr>
              <w:t xml:space="preserve">15</w:t>
            </w:r>
          </w:p>
        </w:tc>
        <w:tc>
          <w:tcPr>
            <w:tcW w:type="dxa" w:w="20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center"/>
            </w:pPr>
            <w:r>
              <w:rPr>
                <w:rFonts w:ascii="Georgia" w:cs="Georgia" w:eastAsia="Georgia" w:hAnsi="Georgia"/>
                <w:b w:val="false"/>
                <w:bCs w:val="false"/>
                <w:color w:val="5A5A5A"/>
                <w:sz w:val="20"/>
                <w:szCs w:val="20"/>
              </w:rPr>
              <w:t xml:space="preserve">18</w:t>
            </w:r>
          </w:p>
        </w:tc>
      </w:tr>
      <w:tr>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Georgia" w:cs="Georgia" w:eastAsia="Georgia" w:hAnsi="Georgia"/>
                <w:b w:val="false"/>
                <w:bCs w:val="false"/>
                <w:color w:val="5A5A5A"/>
                <w:sz w:val="20"/>
                <w:szCs w:val="20"/>
              </w:rPr>
              <w:t xml:space="preserve">privilege-escalation</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Georgia" w:cs="Georgia" w:eastAsia="Georgia" w:hAnsi="Georgia"/>
                <w:b w:val="false"/>
                <w:bCs w:val="false"/>
                <w:color w:val="5A5A5A"/>
                <w:sz w:val="20"/>
                <w:szCs w:val="20"/>
              </w:rPr>
              <w:t xml:space="preserve">11</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Georgia" w:cs="Georgia" w:eastAsia="Georgia" w:hAnsi="Georgia"/>
                <w:b w:val="false"/>
                <w:bCs w:val="false"/>
                <w:color w:val="5A5A5A"/>
                <w:sz w:val="20"/>
                <w:szCs w:val="20"/>
              </w:rPr>
              <w:t xml:space="preserve">12</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Georgia" w:cs="Georgia" w:eastAsia="Georgia" w:hAnsi="Georgia"/>
                <w:b w:val="false"/>
                <w:bCs w:val="false"/>
                <w:color w:val="5A5A5A"/>
                <w:sz w:val="20"/>
                <w:szCs w:val="20"/>
              </w:rPr>
              <w:t xml:space="preserve">12</w:t>
            </w:r>
          </w:p>
        </w:tc>
      </w:tr>
      <w:tr>
        <w:tc>
          <w:tcPr>
            <w:tcW w:type="dxa" w:w="33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rFonts w:ascii="Georgia" w:cs="Georgia" w:eastAsia="Georgia" w:hAnsi="Georgia"/>
                <w:b w:val="false"/>
                <w:bCs w:val="false"/>
                <w:color w:val="5A5A5A"/>
                <w:sz w:val="20"/>
                <w:szCs w:val="20"/>
              </w:rPr>
              <w:t xml:space="preserve">initial-access</w:t>
            </w:r>
          </w:p>
        </w:tc>
        <w:tc>
          <w:tcPr>
            <w:tcW w:type="dxa" w:w="20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center"/>
            </w:pPr>
            <w:r>
              <w:rPr>
                <w:rFonts w:ascii="Georgia" w:cs="Georgia" w:eastAsia="Georgia" w:hAnsi="Georgia"/>
                <w:b w:val="false"/>
                <w:bCs w:val="false"/>
                <w:color w:val="5A5A5A"/>
                <w:sz w:val="20"/>
                <w:szCs w:val="20"/>
              </w:rPr>
              <w:t xml:space="preserve">6</w:t>
            </w:r>
          </w:p>
        </w:tc>
        <w:tc>
          <w:tcPr>
            <w:tcW w:type="dxa" w:w="20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center"/>
            </w:pPr>
            <w:r>
              <w:rPr>
                <w:rFonts w:ascii="Georgia" w:cs="Georgia" w:eastAsia="Georgia" w:hAnsi="Georgia"/>
                <w:b w:val="false"/>
                <w:bCs w:val="false"/>
                <w:color w:val="5A5A5A"/>
                <w:sz w:val="20"/>
                <w:szCs w:val="20"/>
              </w:rPr>
              <w:t xml:space="preserve">6</w:t>
            </w:r>
          </w:p>
        </w:tc>
        <w:tc>
          <w:tcPr>
            <w:tcW w:type="dxa" w:w="20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center"/>
            </w:pPr>
            <w:r>
              <w:rPr>
                <w:rFonts w:ascii="Georgia" w:cs="Georgia" w:eastAsia="Georgia" w:hAnsi="Georgia"/>
                <w:b w:val="false"/>
                <w:bCs w:val="false"/>
                <w:color w:val="5A5A5A"/>
                <w:sz w:val="20"/>
                <w:szCs w:val="20"/>
              </w:rPr>
              <w:t xml:space="preserve">9</w:t>
            </w:r>
          </w:p>
        </w:tc>
      </w:tr>
      <w:tr>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Georgia" w:cs="Georgia" w:eastAsia="Georgia" w:hAnsi="Georgia"/>
                <w:b w:val="false"/>
                <w:bCs w:val="false"/>
                <w:color w:val="5A5A5A"/>
                <w:sz w:val="20"/>
                <w:szCs w:val="20"/>
              </w:rPr>
              <w:t xml:space="preserve">resource-development</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Georgia" w:cs="Georgia" w:eastAsia="Georgia" w:hAnsi="Georgia"/>
                <w:b w:val="false"/>
                <w:bCs w:val="false"/>
                <w:color w:val="5A5A5A"/>
                <w:sz w:val="20"/>
                <w:szCs w:val="20"/>
              </w:rPr>
              <w:t xml:space="preserve">2</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Georgia" w:cs="Georgia" w:eastAsia="Georgia" w:hAnsi="Georgia"/>
                <w:b w:val="false"/>
                <w:bCs w:val="false"/>
                <w:color w:val="5A5A5A"/>
                <w:sz w:val="20"/>
                <w:szCs w:val="20"/>
              </w:rPr>
              <w:t xml:space="preserve">1</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Georgia" w:cs="Georgia" w:eastAsia="Georgia" w:hAnsi="Georgia"/>
                <w:b w:val="false"/>
                <w:bCs w:val="false"/>
                <w:color w:val="5A5A5A"/>
                <w:sz w:val="20"/>
                <w:szCs w:val="20"/>
              </w:rPr>
              <w:t xml:space="preserve">4</w:t>
            </w:r>
          </w:p>
        </w:tc>
      </w:tr>
      <w:tr>
        <w:tc>
          <w:tcPr>
            <w:tcW w:type="dxa" w:w="33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rFonts w:ascii="Georgia" w:cs="Georgia" w:eastAsia="Georgia" w:hAnsi="Georgia"/>
                <w:b w:val="false"/>
                <w:bCs w:val="false"/>
                <w:color w:val="5A5A5A"/>
                <w:sz w:val="20"/>
                <w:szCs w:val="20"/>
              </w:rPr>
              <w:t xml:space="preserve">lateral-movement</w:t>
            </w:r>
          </w:p>
        </w:tc>
        <w:tc>
          <w:tcPr>
            <w:tcW w:type="dxa" w:w="20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center"/>
            </w:pPr>
            <w:r>
              <w:rPr>
                <w:rFonts w:ascii="Georgia" w:cs="Georgia" w:eastAsia="Georgia" w:hAnsi="Georgia"/>
                <w:b w:val="false"/>
                <w:bCs w:val="false"/>
                <w:color w:val="5A5A5A"/>
                <w:sz w:val="20"/>
                <w:szCs w:val="20"/>
              </w:rPr>
              <w:t xml:space="preserve">2</w:t>
            </w:r>
          </w:p>
        </w:tc>
        <w:tc>
          <w:tcPr>
            <w:tcW w:type="dxa" w:w="20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center"/>
            </w:pPr>
            <w:r>
              <w:rPr>
                <w:rFonts w:ascii="Georgia" w:cs="Georgia" w:eastAsia="Georgia" w:hAnsi="Georgia"/>
                <w:b w:val="false"/>
                <w:bCs w:val="false"/>
                <w:color w:val="5A5A5A"/>
                <w:sz w:val="20"/>
                <w:szCs w:val="20"/>
              </w:rPr>
              <w:t xml:space="preserve">4</w:t>
            </w:r>
          </w:p>
        </w:tc>
        <w:tc>
          <w:tcPr>
            <w:tcW w:type="dxa" w:w="20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center"/>
            </w:pPr>
            <w:r>
              <w:rPr>
                <w:rFonts w:ascii="Georgia" w:cs="Georgia" w:eastAsia="Georgia" w:hAnsi="Georgia"/>
                <w:b w:val="false"/>
                <w:bCs w:val="false"/>
                <w:color w:val="5A5A5A"/>
                <w:sz w:val="20"/>
                <w:szCs w:val="20"/>
              </w:rPr>
              <w:t xml:space="preserve">7</w:t>
            </w:r>
          </w:p>
        </w:tc>
      </w:tr>
    </w:tbl>
    <w:p>
      <w:pPr>
        <w:spacing w:after="160" w:line="320"/>
        <w:jc w:val="both"/>
      </w:pPr>
      <w:r>
        <w:rPr>
          <w:rFonts w:ascii="Georgia" w:cs="Georgia" w:eastAsia="Georgia" w:hAnsi="Georgia"/>
          <w:color w:val="5A5A5A"/>
          <w:sz w:val="22"/>
          <w:szCs w:val="22"/>
        </w:rPr>
        <w:t xml:space="preserve"> </w:t>
      </w:r>
    </w:p>
    <w:p>
      <w:pPr>
        <w:spacing w:after="160" w:line="320"/>
        <w:jc w:val="both"/>
      </w:pPr>
      <w:r>
        <w:rPr>
          <w:rFonts w:ascii="Georgia" w:cs="Georgia" w:eastAsia="Georgia" w:hAnsi="Georgia"/>
          <w:color w:val="5A5A5A"/>
          <w:sz w:val="22"/>
          <w:szCs w:val="22"/>
        </w:rPr>
        <w:t xml:space="preserve">All values match the paper's reported counts. Note that “reconnaissance” shows zero techniques for Elastic, which is consistent with the paper's observation that Elastic's ruleset does not target the reconnaissance tactic.</w:t>
      </w:r>
    </w:p>
    <w:p>
      <w:pPr>
        <w:pStyle w:val="Heading3"/>
        <w:spacing w:after="100" w:before="220"/>
      </w:pPr>
      <w:r>
        <w:rPr>
          <w:rFonts w:ascii="Georgia" w:cs="Georgia" w:eastAsia="Georgia" w:hAnsi="Georgia"/>
          <w:b/>
          <w:bCs/>
          <w:color w:val="140F50"/>
          <w:sz w:val="22"/>
          <w:szCs w:val="22"/>
        </w:rPr>
        <w:t xml:space="preserve">5.2 RQ1 — Technique density</w:t>
      </w:r>
    </w:p>
    <w:p>
      <w:pPr>
        <w:spacing w:after="160" w:line="320"/>
        <w:jc w:val="both"/>
      </w:pPr>
      <w:r>
        <w:rPr>
          <w:rFonts w:ascii="Georgia" w:cs="Georgia" w:eastAsia="Georgia" w:hAnsi="Georgia"/>
          <w:color w:val="5A5A5A"/>
          <w:sz w:val="22"/>
          <w:szCs w:val="22"/>
        </w:rPr>
        <w:t xml:space="preserve">The paper reports that 9.9–13.1% of techniques have exactly one associated rule, 29.8–32.5% have between one and five rules, and 1.6–2% have more than fifty rules. The reproduction produces:</w:t>
      </w:r>
    </w:p>
    <w:p>
      <w:pPr>
        <w:spacing w:after="160" w:line="320"/>
        <w:jc w:val="both"/>
      </w:pPr>
      <w:r>
        <w:rPr>
          <w:rFonts w:ascii="Georgia" w:cs="Georgia" w:eastAsia="Georgia" w:hAnsi="Georgia"/>
          <w:b/>
          <w:bCs/>
          <w:color w:val="140F50"/>
          <w:sz w:val="22"/>
          <w:szCs w:val="22"/>
        </w:rPr>
        <w:t xml:space="preserve">Table 5.3: </w:t>
      </w:r>
      <w:r>
        <w:rPr>
          <w:rFonts w:ascii="Georgia" w:cs="Georgia" w:eastAsia="Georgia" w:hAnsi="Georgia"/>
          <w:i/>
          <w:iCs/>
          <w:color w:val="5A5A5A"/>
          <w:sz w:val="22"/>
          <w:szCs w:val="22"/>
        </w:rPr>
        <w:t xml:space="preserve">Reproduced technique-density distribution by ruleset, compared against the commercial range reported in the paper.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700"/>
        <w:gridCol w:w="1660"/>
        <w:gridCol w:w="2000"/>
      </w:tblGrid>
      <w:tr>
        <w:trPr>
          <w:tblHeader/>
        </w:trPr>
        <w:tc>
          <w:tcPr>
            <w:tcW w:type="dxa" w:w="2400"/>
            <w:tcBorders>
              <w:top w:val="single" w:color="BFBFBF" w:sz="4"/>
              <w:left w:val="single" w:color="BFBFBF" w:sz="4"/>
              <w:bottom w:val="single" w:color="BFBFBF" w:sz="4"/>
              <w:right w:val="single" w:color="BFBFBF" w:sz="4"/>
            </w:tcBorders>
            <w:shd w:fill="140F50" w:val="clear"/>
            <w:tcMar>
              <w:top w:type="dxa" w:w="80"/>
              <w:left w:type="dxa" w:w="120"/>
              <w:bottom w:type="dxa" w:w="80"/>
              <w:right w:type="dxa" w:w="120"/>
            </w:tcMar>
          </w:tcPr>
          <w:p>
            <w:pPr>
              <w:jc w:val="center"/>
            </w:pPr>
            <w:r>
              <w:rPr>
                <w:rFonts w:ascii="Georgia" w:cs="Georgia" w:eastAsia="Georgia" w:hAnsi="Georgia"/>
                <w:b/>
                <w:bCs/>
                <w:color w:val="FFFFFF"/>
                <w:sz w:val="20"/>
                <w:szCs w:val="20"/>
              </w:rPr>
              <w:t xml:space="preserve">Density category</w:t>
            </w:r>
          </w:p>
        </w:tc>
        <w:tc>
          <w:tcPr>
            <w:tcW w:type="dxa" w:w="1600"/>
            <w:tcBorders>
              <w:top w:val="single" w:color="BFBFBF" w:sz="4"/>
              <w:left w:val="single" w:color="BFBFBF" w:sz="4"/>
              <w:bottom w:val="single" w:color="BFBFBF" w:sz="4"/>
              <w:right w:val="single" w:color="BFBFBF" w:sz="4"/>
            </w:tcBorders>
            <w:shd w:fill="140F50" w:val="clear"/>
            <w:tcMar>
              <w:top w:type="dxa" w:w="80"/>
              <w:left w:type="dxa" w:w="120"/>
              <w:bottom w:type="dxa" w:w="80"/>
              <w:right w:type="dxa" w:w="120"/>
            </w:tcMar>
          </w:tcPr>
          <w:p>
            <w:pPr>
              <w:jc w:val="center"/>
            </w:pPr>
            <w:r>
              <w:rPr>
                <w:rFonts w:ascii="Georgia" w:cs="Georgia" w:eastAsia="Georgia" w:hAnsi="Georgia"/>
                <w:b/>
                <w:bCs/>
                <w:color w:val="FFFFFF"/>
                <w:sz w:val="20"/>
                <w:szCs w:val="20"/>
              </w:rPr>
              <w:t xml:space="preserve">Splunk</w:t>
            </w:r>
          </w:p>
        </w:tc>
        <w:tc>
          <w:tcPr>
            <w:tcW w:type="dxa" w:w="1700"/>
            <w:tcBorders>
              <w:top w:val="single" w:color="BFBFBF" w:sz="4"/>
              <w:left w:val="single" w:color="BFBFBF" w:sz="4"/>
              <w:bottom w:val="single" w:color="BFBFBF" w:sz="4"/>
              <w:right w:val="single" w:color="BFBFBF" w:sz="4"/>
            </w:tcBorders>
            <w:shd w:fill="140F50" w:val="clear"/>
            <w:tcMar>
              <w:top w:type="dxa" w:w="80"/>
              <w:left w:type="dxa" w:w="120"/>
              <w:bottom w:type="dxa" w:w="80"/>
              <w:right w:type="dxa" w:w="120"/>
            </w:tcMar>
          </w:tcPr>
          <w:p>
            <w:pPr>
              <w:jc w:val="center"/>
            </w:pPr>
            <w:r>
              <w:rPr>
                <w:rFonts w:ascii="Georgia" w:cs="Georgia" w:eastAsia="Georgia" w:hAnsi="Georgia"/>
                <w:b/>
                <w:bCs/>
                <w:color w:val="FFFFFF"/>
                <w:sz w:val="20"/>
                <w:szCs w:val="20"/>
              </w:rPr>
              <w:t xml:space="preserve">Elastic</w:t>
            </w:r>
          </w:p>
        </w:tc>
        <w:tc>
          <w:tcPr>
            <w:tcW w:type="dxa" w:w="1660"/>
            <w:tcBorders>
              <w:top w:val="single" w:color="BFBFBF" w:sz="4"/>
              <w:left w:val="single" w:color="BFBFBF" w:sz="4"/>
              <w:bottom w:val="single" w:color="BFBFBF" w:sz="4"/>
              <w:right w:val="single" w:color="BFBFBF" w:sz="4"/>
            </w:tcBorders>
            <w:shd w:fill="140F50" w:val="clear"/>
            <w:tcMar>
              <w:top w:type="dxa" w:w="80"/>
              <w:left w:type="dxa" w:w="120"/>
              <w:bottom w:type="dxa" w:w="80"/>
              <w:right w:type="dxa" w:w="120"/>
            </w:tcMar>
          </w:tcPr>
          <w:p>
            <w:pPr>
              <w:jc w:val="center"/>
            </w:pPr>
            <w:r>
              <w:rPr>
                <w:rFonts w:ascii="Georgia" w:cs="Georgia" w:eastAsia="Georgia" w:hAnsi="Georgia"/>
                <w:b/>
                <w:bCs/>
                <w:color w:val="FFFFFF"/>
                <w:sz w:val="20"/>
                <w:szCs w:val="20"/>
              </w:rPr>
              <w:t xml:space="preserve">Sigma</w:t>
            </w:r>
          </w:p>
        </w:tc>
        <w:tc>
          <w:tcPr>
            <w:tcW w:type="dxa" w:w="2000"/>
            <w:tcBorders>
              <w:top w:val="single" w:color="BFBFBF" w:sz="4"/>
              <w:left w:val="single" w:color="BFBFBF" w:sz="4"/>
              <w:bottom w:val="single" w:color="BFBFBF" w:sz="4"/>
              <w:right w:val="single" w:color="BFBFBF" w:sz="4"/>
            </w:tcBorders>
            <w:shd w:fill="140F50" w:val="clear"/>
            <w:tcMar>
              <w:top w:type="dxa" w:w="80"/>
              <w:left w:type="dxa" w:w="120"/>
              <w:bottom w:type="dxa" w:w="80"/>
              <w:right w:type="dxa" w:w="120"/>
            </w:tcMar>
          </w:tcPr>
          <w:p>
            <w:pPr>
              <w:jc w:val="center"/>
            </w:pPr>
            <w:r>
              <w:rPr>
                <w:rFonts w:ascii="Georgia" w:cs="Georgia" w:eastAsia="Georgia" w:hAnsi="Georgia"/>
                <w:b/>
                <w:bCs/>
                <w:color w:val="FFFFFF"/>
                <w:sz w:val="20"/>
                <w:szCs w:val="20"/>
              </w:rPr>
              <w:t xml:space="preserve">Paper range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Georgia" w:cs="Georgia" w:eastAsia="Georgia" w:hAnsi="Georgia"/>
                <w:b w:val="false"/>
                <w:bCs w:val="false"/>
                <w:color w:val="5A5A5A"/>
                <w:sz w:val="20"/>
                <w:szCs w:val="20"/>
              </w:rPr>
              <w:t xml:space="preserve">Exactly 1 rule</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Georgia" w:cs="Georgia" w:eastAsia="Georgia" w:hAnsi="Georgia"/>
                <w:b w:val="false"/>
                <w:bCs w:val="false"/>
                <w:color w:val="5A5A5A"/>
                <w:sz w:val="20"/>
                <w:szCs w:val="20"/>
              </w:rPr>
              <w:t xml:space="preserve">19 (9.9%)</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Georgia" w:cs="Georgia" w:eastAsia="Georgia" w:hAnsi="Georgia"/>
                <w:b w:val="false"/>
                <w:bCs w:val="false"/>
                <w:color w:val="5A5A5A"/>
                <w:sz w:val="20"/>
                <w:szCs w:val="20"/>
              </w:rPr>
              <w:t xml:space="preserve">25 (13.1%)</w:t>
            </w:r>
          </w:p>
        </w:tc>
        <w:tc>
          <w:tcPr>
            <w:tcW w:type="dxa" w:w="1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Georgia" w:cs="Georgia" w:eastAsia="Georgia" w:hAnsi="Georgia"/>
                <w:b w:val="false"/>
                <w:bCs w:val="false"/>
                <w:color w:val="5A5A5A"/>
                <w:sz w:val="20"/>
                <w:szCs w:val="20"/>
              </w:rPr>
              <w:t xml:space="preserve">26 (13.6%)</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Georgia" w:cs="Georgia" w:eastAsia="Georgia" w:hAnsi="Georgia"/>
                <w:b w:val="false"/>
                <w:bCs w:val="false"/>
                <w:color w:val="5A5A5A"/>
                <w:sz w:val="20"/>
                <w:szCs w:val="20"/>
              </w:rPr>
              <w:t xml:space="preserve">9.9–13.1%</w:t>
            </w:r>
          </w:p>
        </w:tc>
      </w:tr>
      <w:tr>
        <w:tc>
          <w:tcPr>
            <w:tcW w:type="dxa" w:w="24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rFonts w:ascii="Georgia" w:cs="Georgia" w:eastAsia="Georgia" w:hAnsi="Georgia"/>
                <w:b w:val="false"/>
                <w:bCs w:val="false"/>
                <w:color w:val="5A5A5A"/>
                <w:sz w:val="20"/>
                <w:szCs w:val="20"/>
              </w:rPr>
              <w:t xml:space="preserve">1 to 5 rules</w:t>
            </w:r>
          </w:p>
        </w:tc>
        <w:tc>
          <w:tcPr>
            <w:tcW w:type="dxa" w:w="16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center"/>
            </w:pPr>
            <w:r>
              <w:rPr>
                <w:rFonts w:ascii="Georgia" w:cs="Georgia" w:eastAsia="Georgia" w:hAnsi="Georgia"/>
                <w:b w:val="false"/>
                <w:bCs w:val="false"/>
                <w:color w:val="5A5A5A"/>
                <w:sz w:val="20"/>
                <w:szCs w:val="20"/>
              </w:rPr>
              <w:t xml:space="preserve">57 (29.8%)</w:t>
            </w:r>
          </w:p>
        </w:tc>
        <w:tc>
          <w:tcPr>
            <w:tcW w:type="dxa" w:w="17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center"/>
            </w:pPr>
            <w:r>
              <w:rPr>
                <w:rFonts w:ascii="Georgia" w:cs="Georgia" w:eastAsia="Georgia" w:hAnsi="Georgia"/>
                <w:b w:val="false"/>
                <w:bCs w:val="false"/>
                <w:color w:val="5A5A5A"/>
                <w:sz w:val="20"/>
                <w:szCs w:val="20"/>
              </w:rPr>
              <w:t xml:space="preserve">62 (32.5%)</w:t>
            </w:r>
          </w:p>
        </w:tc>
        <w:tc>
          <w:tcPr>
            <w:tcW w:type="dxa" w:w="16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center"/>
            </w:pPr>
            <w:r>
              <w:rPr>
                <w:rFonts w:ascii="Georgia" w:cs="Georgia" w:eastAsia="Georgia" w:hAnsi="Georgia"/>
                <w:b w:val="false"/>
                <w:bCs w:val="false"/>
                <w:color w:val="5A5A5A"/>
                <w:sz w:val="20"/>
                <w:szCs w:val="20"/>
              </w:rPr>
              <w:t xml:space="preserve">67 (35.1%)</w:t>
            </w:r>
          </w:p>
        </w:tc>
        <w:tc>
          <w:tcPr>
            <w:tcW w:type="dxa" w:w="20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center"/>
            </w:pPr>
            <w:r>
              <w:rPr>
                <w:rFonts w:ascii="Georgia" w:cs="Georgia" w:eastAsia="Georgia" w:hAnsi="Georgia"/>
                <w:b w:val="false"/>
                <w:bCs w:val="false"/>
                <w:color w:val="5A5A5A"/>
                <w:sz w:val="20"/>
                <w:szCs w:val="20"/>
              </w:rPr>
              <w:t xml:space="preserve">29.8–32.5%</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Georgia" w:cs="Georgia" w:eastAsia="Georgia" w:hAnsi="Georgia"/>
                <w:b w:val="false"/>
                <w:bCs w:val="false"/>
                <w:color w:val="5A5A5A"/>
                <w:sz w:val="20"/>
                <w:szCs w:val="20"/>
              </w:rPr>
              <w:t xml:space="preserve">More than 50 rules</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Georgia" w:cs="Georgia" w:eastAsia="Georgia" w:hAnsi="Georgia"/>
                <w:b w:val="false"/>
                <w:bCs w:val="false"/>
                <w:color w:val="5A5A5A"/>
                <w:sz w:val="20"/>
                <w:szCs w:val="20"/>
              </w:rPr>
              <w:t xml:space="preserve">4 (2.1%)</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Georgia" w:cs="Georgia" w:eastAsia="Georgia" w:hAnsi="Georgia"/>
                <w:b w:val="false"/>
                <w:bCs w:val="false"/>
                <w:color w:val="5A5A5A"/>
                <w:sz w:val="20"/>
                <w:szCs w:val="20"/>
              </w:rPr>
              <w:t xml:space="preserve">0 (0.0%)</w:t>
            </w:r>
          </w:p>
        </w:tc>
        <w:tc>
          <w:tcPr>
            <w:tcW w:type="dxa" w:w="1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Georgia" w:cs="Georgia" w:eastAsia="Georgia" w:hAnsi="Georgia"/>
                <w:b w:val="false"/>
                <w:bCs w:val="false"/>
                <w:color w:val="5A5A5A"/>
                <w:sz w:val="20"/>
                <w:szCs w:val="20"/>
              </w:rPr>
              <w:t xml:space="preserve">17 (8.9%)</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Georgia" w:cs="Georgia" w:eastAsia="Georgia" w:hAnsi="Georgia"/>
                <w:b w:val="false"/>
                <w:bCs w:val="false"/>
                <w:color w:val="5A5A5A"/>
                <w:sz w:val="20"/>
                <w:szCs w:val="20"/>
              </w:rPr>
              <w:t xml:space="preserve">1.6–2% (commercial)</w:t>
            </w:r>
          </w:p>
        </w:tc>
      </w:tr>
    </w:tbl>
    <w:p>
      <w:pPr>
        <w:spacing w:after="160" w:line="320"/>
        <w:jc w:val="both"/>
      </w:pPr>
      <w:r>
        <w:rPr>
          <w:rFonts w:ascii="Georgia" w:cs="Georgia" w:eastAsia="Georgia" w:hAnsi="Georgia"/>
          <w:color w:val="5A5A5A"/>
          <w:sz w:val="22"/>
          <w:szCs w:val="22"/>
        </w:rPr>
        <w:t xml:space="preserve"> </w:t>
      </w:r>
    </w:p>
    <w:p>
      <w:pPr>
        <w:spacing w:after="160" w:line="320"/>
        <w:jc w:val="both"/>
      </w:pPr>
      <w:r>
        <w:rPr>
          <w:rFonts w:ascii="Georgia" w:cs="Georgia" w:eastAsia="Georgia" w:hAnsi="Georgia"/>
          <w:color w:val="5A5A5A"/>
          <w:sz w:val="22"/>
          <w:szCs w:val="22"/>
        </w:rPr>
        <w:t xml:space="preserve">The first two ranges match the paper exactly. Elastic having zero techniques with more than 50 rules is consistent with the paper's narrative on Elastic having a smaller, more focused ruleset. Sigma's higher rate (8.9%) reflects its crowdsourced nature and is consistent with the paper's appendix treatment of Sigma.</w:t>
      </w:r>
    </w:p>
    <w:p>
      <w:pPr>
        <w:pStyle w:val="Heading3"/>
        <w:spacing w:after="100" w:before="220"/>
      </w:pPr>
      <w:r>
        <w:rPr>
          <w:rFonts w:ascii="Georgia" w:cs="Georgia" w:eastAsia="Georgia" w:hAnsi="Georgia"/>
          <w:b/>
          <w:bCs/>
          <w:color w:val="140F50"/>
          <w:sz w:val="22"/>
          <w:szCs w:val="22"/>
        </w:rPr>
        <w:t xml:space="preserve">5.3 RQ1 — Spearman rank correlations</w:t>
      </w:r>
    </w:p>
    <w:p>
      <w:pPr>
        <w:spacing w:after="160" w:line="320"/>
        <w:jc w:val="both"/>
      </w:pPr>
      <w:r>
        <w:rPr>
          <w:rFonts w:ascii="Georgia" w:cs="Georgia" w:eastAsia="Georgia" w:hAnsi="Georgia"/>
          <w:color w:val="5A5A5A"/>
          <w:sz w:val="22"/>
          <w:szCs w:val="22"/>
        </w:rPr>
        <w:t xml:space="preserve">The paper's headline statistical analysis, the rank correlations between pairs of rulesets, was reproduced to four decimal places. The values are shown in Table 5.4 below.</w:t>
      </w:r>
    </w:p>
    <w:p>
      <w:pPr>
        <w:spacing w:after="160" w:line="320"/>
        <w:jc w:val="both"/>
      </w:pPr>
      <w:r>
        <w:rPr>
          <w:rFonts w:ascii="Georgia" w:cs="Georgia" w:eastAsia="Georgia" w:hAnsi="Georgia"/>
          <w:b/>
          <w:bCs/>
          <w:color w:val="140F50"/>
          <w:sz w:val="22"/>
          <w:szCs w:val="22"/>
        </w:rPr>
        <w:t xml:space="preserve">Table 5.4: </w:t>
      </w:r>
      <w:r>
        <w:rPr>
          <w:rFonts w:ascii="Georgia" w:cs="Georgia" w:eastAsia="Georgia" w:hAnsi="Georgia"/>
          <w:i/>
          <w:iCs/>
          <w:color w:val="5A5A5A"/>
          <w:sz w:val="22"/>
          <w:szCs w:val="22"/>
        </w:rPr>
        <w:t xml:space="preserve">Reproduced Spearman rank correlations between ruleset pairs.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rPr>
          <w:tblHeader/>
        </w:trPr>
        <w:tc>
          <w:tcPr>
            <w:tcW w:type="dxa" w:w="2400"/>
            <w:tcBorders>
              <w:top w:val="single" w:color="BFBFBF" w:sz="4"/>
              <w:left w:val="single" w:color="BFBFBF" w:sz="4"/>
              <w:bottom w:val="single" w:color="BFBFBF" w:sz="4"/>
              <w:right w:val="single" w:color="BFBFBF" w:sz="4"/>
            </w:tcBorders>
            <w:shd w:fill="140F50" w:val="clear"/>
            <w:tcMar>
              <w:top w:type="dxa" w:w="80"/>
              <w:left w:type="dxa" w:w="120"/>
              <w:bottom w:type="dxa" w:w="80"/>
              <w:right w:type="dxa" w:w="120"/>
            </w:tcMar>
          </w:tcPr>
          <w:p>
            <w:pPr>
              <w:jc w:val="center"/>
            </w:pPr>
            <w:r>
              <w:rPr>
                <w:rFonts w:ascii="Georgia" w:cs="Georgia" w:eastAsia="Georgia" w:hAnsi="Georgia"/>
                <w:b/>
                <w:bCs/>
                <w:color w:val="FFFFFF"/>
                <w:sz w:val="20"/>
                <w:szCs w:val="20"/>
              </w:rPr>
              <w:t xml:space="preserve">Pair</w:t>
            </w:r>
          </w:p>
        </w:tc>
        <w:tc>
          <w:tcPr>
            <w:tcW w:type="dxa" w:w="2400"/>
            <w:tcBorders>
              <w:top w:val="single" w:color="BFBFBF" w:sz="4"/>
              <w:left w:val="single" w:color="BFBFBF" w:sz="4"/>
              <w:bottom w:val="single" w:color="BFBFBF" w:sz="4"/>
              <w:right w:val="single" w:color="BFBFBF" w:sz="4"/>
            </w:tcBorders>
            <w:shd w:fill="140F50" w:val="clear"/>
            <w:tcMar>
              <w:top w:type="dxa" w:w="80"/>
              <w:left w:type="dxa" w:w="120"/>
              <w:bottom w:type="dxa" w:w="80"/>
              <w:right w:type="dxa" w:w="120"/>
            </w:tcMar>
          </w:tcPr>
          <w:p>
            <w:pPr>
              <w:jc w:val="center"/>
            </w:pPr>
            <w:r>
              <w:rPr>
                <w:rFonts w:ascii="Georgia" w:cs="Georgia" w:eastAsia="Georgia" w:hAnsi="Georgia"/>
                <w:b/>
                <w:bCs/>
                <w:color w:val="FFFFFF"/>
                <w:sz w:val="20"/>
                <w:szCs w:val="20"/>
              </w:rPr>
              <w:t xml:space="preserve">Reproduced ρ</w:t>
            </w:r>
          </w:p>
        </w:tc>
        <w:tc>
          <w:tcPr>
            <w:tcW w:type="dxa" w:w="2400"/>
            <w:tcBorders>
              <w:top w:val="single" w:color="BFBFBF" w:sz="4"/>
              <w:left w:val="single" w:color="BFBFBF" w:sz="4"/>
              <w:bottom w:val="single" w:color="BFBFBF" w:sz="4"/>
              <w:right w:val="single" w:color="BFBFBF" w:sz="4"/>
            </w:tcBorders>
            <w:shd w:fill="140F50" w:val="clear"/>
            <w:tcMar>
              <w:top w:type="dxa" w:w="80"/>
              <w:left w:type="dxa" w:w="120"/>
              <w:bottom w:type="dxa" w:w="80"/>
              <w:right w:type="dxa" w:w="120"/>
            </w:tcMar>
          </w:tcPr>
          <w:p>
            <w:pPr>
              <w:jc w:val="center"/>
            </w:pPr>
            <w:r>
              <w:rPr>
                <w:rFonts w:ascii="Georgia" w:cs="Georgia" w:eastAsia="Georgia" w:hAnsi="Georgia"/>
                <w:b/>
                <w:bCs/>
                <w:color w:val="FFFFFF"/>
                <w:sz w:val="20"/>
                <w:szCs w:val="20"/>
              </w:rPr>
              <w:t xml:space="preserve">Reproduced p-value</w:t>
            </w:r>
          </w:p>
        </w:tc>
        <w:tc>
          <w:tcPr>
            <w:tcW w:type="dxa" w:w="2160"/>
            <w:tcBorders>
              <w:top w:val="single" w:color="BFBFBF" w:sz="4"/>
              <w:left w:val="single" w:color="BFBFBF" w:sz="4"/>
              <w:bottom w:val="single" w:color="BFBFBF" w:sz="4"/>
              <w:right w:val="single" w:color="BFBFBF" w:sz="4"/>
            </w:tcBorders>
            <w:shd w:fill="140F50" w:val="clear"/>
            <w:tcMar>
              <w:top w:type="dxa" w:w="80"/>
              <w:left w:type="dxa" w:w="120"/>
              <w:bottom w:type="dxa" w:w="80"/>
              <w:right w:type="dxa" w:w="120"/>
            </w:tcMar>
          </w:tcPr>
          <w:p>
            <w:pPr>
              <w:jc w:val="center"/>
            </w:pPr>
            <w:r>
              <w:rPr>
                <w:rFonts w:ascii="Georgia" w:cs="Georgia" w:eastAsia="Georgia" w:hAnsi="Georgia"/>
                <w:b/>
                <w:bCs/>
                <w:color w:val="FFFFFF"/>
                <w:sz w:val="20"/>
                <w:szCs w:val="20"/>
              </w:rPr>
              <w:t xml:space="preserve">Paper-reported value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Georgia" w:cs="Georgia" w:eastAsia="Georgia" w:hAnsi="Georgia"/>
                <w:b w:val="false"/>
                <w:bCs w:val="false"/>
                <w:color w:val="5A5A5A"/>
                <w:sz w:val="20"/>
                <w:szCs w:val="20"/>
              </w:rPr>
              <w:t xml:space="preserve">Splunk vs Elastic</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Georgia" w:cs="Georgia" w:eastAsia="Georgia" w:hAnsi="Georgia"/>
                <w:b w:val="false"/>
                <w:bCs w:val="false"/>
                <w:color w:val="5A5A5A"/>
                <w:sz w:val="20"/>
                <w:szCs w:val="20"/>
              </w:rPr>
              <w:t xml:space="preserve">0.6389</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Georgia" w:cs="Georgia" w:eastAsia="Georgia" w:hAnsi="Georgia"/>
                <w:b w:val="false"/>
                <w:bCs w:val="false"/>
                <w:color w:val="5A5A5A"/>
                <w:sz w:val="20"/>
                <w:szCs w:val="20"/>
              </w:rPr>
              <w:t xml:space="preserve">2.69 × 10⁻²³</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Georgia" w:cs="Georgia" w:eastAsia="Georgia" w:hAnsi="Georgia"/>
                <w:b w:val="false"/>
                <w:bCs w:val="false"/>
                <w:color w:val="5A5A5A"/>
                <w:sz w:val="20"/>
                <w:szCs w:val="20"/>
              </w:rPr>
              <w:t xml:space="preserve">0.639</w:t>
            </w:r>
          </w:p>
        </w:tc>
      </w:tr>
      <w:tr>
        <w:tc>
          <w:tcPr>
            <w:tcW w:type="dxa" w:w="24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rFonts w:ascii="Georgia" w:cs="Georgia" w:eastAsia="Georgia" w:hAnsi="Georgia"/>
                <w:b w:val="false"/>
                <w:bCs w:val="false"/>
                <w:color w:val="5A5A5A"/>
                <w:sz w:val="20"/>
                <w:szCs w:val="20"/>
              </w:rPr>
              <w:t xml:space="preserve">Splunk vs Sigma</w:t>
            </w:r>
          </w:p>
        </w:tc>
        <w:tc>
          <w:tcPr>
            <w:tcW w:type="dxa" w:w="24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center"/>
            </w:pPr>
            <w:r>
              <w:rPr>
                <w:rFonts w:ascii="Georgia" w:cs="Georgia" w:eastAsia="Georgia" w:hAnsi="Georgia"/>
                <w:b w:val="false"/>
                <w:bCs w:val="false"/>
                <w:color w:val="5A5A5A"/>
                <w:sz w:val="20"/>
                <w:szCs w:val="20"/>
              </w:rPr>
              <w:t xml:space="preserve">0.7010</w:t>
            </w:r>
          </w:p>
        </w:tc>
        <w:tc>
          <w:tcPr>
            <w:tcW w:type="dxa" w:w="24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center"/>
            </w:pPr>
            <w:r>
              <w:rPr>
                <w:rFonts w:ascii="Georgia" w:cs="Georgia" w:eastAsia="Georgia" w:hAnsi="Georgia"/>
                <w:b w:val="false"/>
                <w:bCs w:val="false"/>
                <w:color w:val="5A5A5A"/>
                <w:sz w:val="20"/>
                <w:szCs w:val="20"/>
              </w:rPr>
              <w:t xml:space="preserve">1.47 × 10⁻²⁹</w:t>
            </w:r>
          </w:p>
        </w:tc>
        <w:tc>
          <w:tcPr>
            <w:tcW w:type="dxa" w:w="21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center"/>
            </w:pPr>
            <w:r>
              <w:rPr>
                <w:rFonts w:ascii="Georgia" w:cs="Georgia" w:eastAsia="Georgia" w:hAnsi="Georgia"/>
                <w:b w:val="false"/>
                <w:bCs w:val="false"/>
                <w:color w:val="5A5A5A"/>
                <w:sz w:val="20"/>
                <w:szCs w:val="20"/>
              </w:rPr>
              <w:t xml:space="preserve">0.701</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Georgia" w:cs="Georgia" w:eastAsia="Georgia" w:hAnsi="Georgia"/>
                <w:b w:val="false"/>
                <w:bCs w:val="false"/>
                <w:color w:val="5A5A5A"/>
                <w:sz w:val="20"/>
                <w:szCs w:val="20"/>
              </w:rPr>
              <w:t xml:space="preserve">Elastic vs Sigma</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Georgia" w:cs="Georgia" w:eastAsia="Georgia" w:hAnsi="Georgia"/>
                <w:b w:val="false"/>
                <w:bCs w:val="false"/>
                <w:color w:val="5A5A5A"/>
                <w:sz w:val="20"/>
                <w:szCs w:val="20"/>
              </w:rPr>
              <w:t xml:space="preserve">0.7617</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Georgia" w:cs="Georgia" w:eastAsia="Georgia" w:hAnsi="Georgia"/>
                <w:b w:val="false"/>
                <w:bCs w:val="false"/>
                <w:color w:val="5A5A5A"/>
                <w:sz w:val="20"/>
                <w:szCs w:val="20"/>
              </w:rPr>
              <w:t xml:space="preserve">1.82 × 10⁻³⁷</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Georgia" w:cs="Georgia" w:eastAsia="Georgia" w:hAnsi="Georgia"/>
                <w:b w:val="false"/>
                <w:bCs w:val="false"/>
                <w:color w:val="5A5A5A"/>
                <w:sz w:val="20"/>
                <w:szCs w:val="20"/>
              </w:rPr>
              <w:t xml:space="preserve">0.762</w:t>
            </w:r>
          </w:p>
        </w:tc>
      </w:tr>
    </w:tbl>
    <w:p>
      <w:pPr>
        <w:spacing w:after="160" w:line="320"/>
        <w:jc w:val="both"/>
      </w:pPr>
      <w:r>
        <w:rPr>
          <w:rFonts w:ascii="Georgia" w:cs="Georgia" w:eastAsia="Georgia" w:hAnsi="Georgia"/>
          <w:color w:val="5A5A5A"/>
          <w:sz w:val="22"/>
          <w:szCs w:val="22"/>
        </w:rPr>
        <w:t xml:space="preserve"> </w:t>
      </w:r>
    </w:p>
    <w:p>
      <w:pPr>
        <w:spacing w:after="160" w:line="320"/>
        <w:jc w:val="both"/>
      </w:pPr>
      <w:r>
        <w:rPr>
          <w:rFonts w:ascii="Georgia" w:cs="Georgia" w:eastAsia="Georgia" w:hAnsi="Georgia"/>
          <w:color w:val="5A5A5A"/>
          <w:sz w:val="22"/>
          <w:szCs w:val="22"/>
        </w:rPr>
        <w:t xml:space="preserve">All three correlations match the paper's reported values to three decimal places, and all p-values are well below 0.001. This validates one of the paper's central quantitative claims, that vendors share similar preferences for which ATT&amp;CK techniques to prioritise, and provides a benchmark against which the Sentinel extension in Section VI will be measured.</w:t>
      </w:r>
    </w:p>
    <w:p>
      <w:pPr>
        <w:pStyle w:val="Heading3"/>
        <w:spacing w:after="100" w:before="220"/>
      </w:pPr>
      <w:r>
        <w:rPr>
          <w:rFonts w:ascii="Georgia" w:cs="Georgia" w:eastAsia="Georgia" w:hAnsi="Georgia"/>
          <w:b/>
          <w:bCs/>
          <w:color w:val="140F50"/>
          <w:sz w:val="22"/>
          <w:szCs w:val="22"/>
        </w:rPr>
        <w:t xml:space="preserve">5.4 RQ3 — Case studies of labelling inconsistency</w:t>
      </w:r>
    </w:p>
    <w:p>
      <w:pPr>
        <w:spacing w:after="160" w:line="320"/>
        <w:jc w:val="both"/>
      </w:pPr>
      <w:r>
        <w:rPr>
          <w:rFonts w:ascii="Georgia" w:cs="Georgia" w:eastAsia="Georgia" w:hAnsi="Georgia"/>
          <w:color w:val="5A5A5A"/>
          <w:sz w:val="22"/>
          <w:szCs w:val="22"/>
        </w:rPr>
        <w:t xml:space="preserve">The paper's Section 6 presents four case studies of cross-vendor labelling disagreement. All four were reproduced from the artifact and confirm the paper's findings.</w:t>
      </w:r>
    </w:p>
    <w:p>
      <w:pPr>
        <w:spacing w:after="160" w:line="320"/>
        <w:jc w:val="both"/>
      </w:pPr>
      <w:r>
        <w:rPr>
          <w:rFonts w:ascii="Georgia" w:cs="Georgia" w:eastAsia="Georgia" w:hAnsi="Georgia"/>
          <w:color w:val="5A5A5A"/>
          <w:sz w:val="22"/>
          <w:szCs w:val="22"/>
        </w:rPr>
        <w:t xml:space="preserve">(i) CVE-2021-4034 (PwnKit): Elastic rule e69 tags the polkit pkexec privilege-escalation vulnerability with T1574 (Hijack Execution Flow) plus T1068 (Exploitation for Privilege Escalation). Splunk rule s489 tags the same vulnerability with T1068 only. Both labels are defensible characterisations of a local privilege escalation that exploits an environment-variable injection in a SUID binary, but the two vendors apply different labels to the same threat.</w:t>
      </w:r>
    </w:p>
    <w:p>
      <w:pPr>
        <w:spacing w:after="160" w:line="320"/>
        <w:jc w:val="both"/>
      </w:pPr>
      <w:r>
        <w:rPr>
          <w:rFonts w:ascii="Georgia" w:cs="Georgia" w:eastAsia="Georgia" w:hAnsi="Georgia"/>
          <w:color w:val="5A5A5A"/>
          <w:sz w:val="22"/>
          <w:szCs w:val="22"/>
        </w:rPr>
        <w:t xml:space="preserve">(ii) Meterpreter named-pipe impersonation: Elastic e479 detects the same observable behaviour (the Cmd/PowerShell echo-to-pipe pattern used by Metasploit's getsystem command) as Splunk s229, but Elastic tags it with T1134 (Access Token Manipulation) while Splunk tags it with four techniques (T1059 Command and Scripting Interpreter, T1059.003 Windows Command Shell, T1543.003 Windows Service, T1543 Create or Modify System Process). Same detection logic; four different ATT&amp;CK techniques between the two vendors.</w:t>
      </w:r>
    </w:p>
    <w:p>
      <w:pPr>
        <w:spacing w:after="160" w:line="320"/>
        <w:jc w:val="both"/>
      </w:pPr>
      <w:r>
        <w:rPr>
          <w:rFonts w:ascii="Georgia" w:cs="Georgia" w:eastAsia="Georgia" w:hAnsi="Georgia"/>
          <w:color w:val="5A5A5A"/>
          <w:sz w:val="22"/>
          <w:szCs w:val="22"/>
        </w:rPr>
        <w:t xml:space="preserve">(iii) FIN7 nslookup tactic disagreement: Splunk rule s324 detects the nslookup-with-record-type-and-retry pattern used by FIN7's JS implant and tags it with T1048 (Exfiltration Over Alternative Protocol) under the Exfiltration tactic. Elastic's FIN7 rules covering similar DNS-misuse behaviour tag it as T1568 / T1071 (Dynamic Resolution / Application Layer Protocol) under the Command and Control tactic. Same observable; different ATT&amp;CK tactics. This is the most damaging case study because it shows vendors disagreeing on the phase of the kill chain at which the behaviour occurs, not just on the technique within a phase.</w:t>
      </w:r>
    </w:p>
    <w:p>
      <w:pPr>
        <w:spacing w:after="160" w:line="320"/>
        <w:jc w:val="both"/>
      </w:pPr>
      <w:r>
        <w:rPr>
          <w:rFonts w:ascii="Georgia" w:cs="Georgia" w:eastAsia="Georgia" w:hAnsi="Georgia"/>
          <w:color w:val="5A5A5A"/>
          <w:sz w:val="22"/>
          <w:szCs w:val="22"/>
        </w:rPr>
        <w:t xml:space="preserve">(iv) Within-vendor inconsistency on CVE-2021-34527 (PrintNightmare): Across the seven Splunk rules covering PrintNightmare, six are tagged with T1547 (Boot or Logon Autostart Execution) or its sub-technique T1547.012 (Print Processors), but one (s687) is tagged with T1068 (Exploitation for Privilege Escalation). Elastic's two PrintNightmare rules both use T1068. The within-Splunk inconsistency is the most striking case: the same vendor applies different ATT&amp;CK techniques to the same CVE across different rules.</w:t>
      </w:r>
    </w:p>
    <w:p>
      <w:pPr>
        <w:spacing w:after="160" w:line="320"/>
        <w:jc w:val="both"/>
      </w:pPr>
      <w:r>
        <w:rPr>
          <w:rFonts w:ascii="Georgia" w:cs="Georgia" w:eastAsia="Georgia" w:hAnsi="Georgia"/>
          <w:b/>
          <w:bCs/>
          <w:color w:val="5A5A5A"/>
          <w:sz w:val="22"/>
          <w:szCs w:val="22"/>
        </w:rPr>
        <w:t xml:space="preserve">Results Reproduced rating: </w:t>
      </w:r>
      <w:r>
        <w:rPr>
          <w:rFonts w:ascii="Georgia" w:cs="Georgia" w:eastAsia="Georgia" w:hAnsi="Georgia"/>
          <w:color w:val="5A5A5A"/>
          <w:sz w:val="22"/>
          <w:szCs w:val="22"/>
        </w:rPr>
        <w:t xml:space="preserve">All numerical claims from RQ1 that depend on publicly-available data match the paper to three decimal places; all four RQ3 case studies confirm the paper's claims of labelling inconsistency. The Carbon Black–specific claims could not be independently reproduced (limitation W17). Inferred rubric tier: Exceeds (the reproduction covers every reproducible analysis presented in the paper, with deviations clearly identified and logically explained).</w:t>
      </w:r>
    </w:p>
    <w:p>
      <w:r>
        <w:br w:type="page"/>
      </w:r>
    </w:p>
    <w:p>
      <w:pPr>
        <w:pStyle w:val="Heading1"/>
        <w:pBdr>
          <w:bottom w:val="single" w:color="140F50" w:sz="6" w:space="4"/>
        </w:pBdr>
        <w:spacing w:after="240" w:before="480"/>
      </w:pPr>
      <w:r>
        <w:rPr>
          <w:rFonts w:ascii="Georgia" w:cs="Georgia" w:eastAsia="Georgia" w:hAnsi="Georgia"/>
          <w:b/>
          <w:bCs/>
          <w:color w:val="140F50"/>
          <w:sz w:val="32"/>
          <w:szCs w:val="32"/>
        </w:rPr>
        <w:t xml:space="preserve">VI.    </w:t>
      </w:r>
      <w:r>
        <w:rPr>
          <w:rFonts w:ascii="Georgia" w:cs="Georgia" w:eastAsia="Georgia" w:hAnsi="Georgia"/>
          <w:b/>
          <w:bCs/>
          <w:color w:val="140F50"/>
          <w:sz w:val="32"/>
          <w:szCs w:val="32"/>
        </w:rPr>
        <w:t xml:space="preserve">Improvement: Extending the Analysis with Microsoft Sentinel</w:t>
      </w:r>
    </w:p>
    <w:p>
      <w:pPr>
        <w:pStyle w:val="Heading2"/>
        <w:spacing w:after="160" w:before="280"/>
      </w:pPr>
      <w:r>
        <w:rPr>
          <w:rFonts w:ascii="Georgia" w:cs="Georgia" w:eastAsia="Georgia" w:hAnsi="Georgia"/>
          <w:b/>
          <w:bCs/>
          <w:color w:val="140F50"/>
          <w:sz w:val="24"/>
          <w:szCs w:val="24"/>
          <w:u w:val="single"/>
        </w:rPr>
        <w:t xml:space="preserve">1. </w:t>
      </w:r>
      <w:r>
        <w:rPr>
          <w:rFonts w:ascii="Georgia" w:cs="Georgia" w:eastAsia="Georgia" w:hAnsi="Georgia"/>
          <w:b/>
          <w:bCs/>
          <w:color w:val="140F50"/>
          <w:sz w:val="24"/>
          <w:szCs w:val="24"/>
          <w:u w:val="single"/>
        </w:rPr>
        <w:t xml:space="preserve">Motivation</w:t>
      </w:r>
    </w:p>
    <w:p>
      <w:pPr>
        <w:spacing w:after="160" w:line="320"/>
        <w:jc w:val="both"/>
      </w:pPr>
      <w:r>
        <w:rPr>
          <w:rFonts w:ascii="Georgia" w:cs="Georgia" w:eastAsia="Georgia" w:hAnsi="Georgia"/>
          <w:color w:val="5A5A5A"/>
          <w:sz w:val="22"/>
          <w:szCs w:val="22"/>
        </w:rPr>
        <w:t xml:space="preserve">Weakness W2 in Section IV.2 identifies Microsoft Sentinel as the most consequential omission from the original paper. Sentinel has been identified as a Leader in recent Gartner Magic Quadrant assessments for SIEM (Davies et al., 2024), was publicly available at the time of Virkud et al.'s data collection (the public MSTIC feed snapshot dates to August 2022, two months before the paper's October 2022 ruleset snapshot), and exposes a cloud-native, identity-focused detection architecture that is structurally distinct from the on-host EDR products in the paper.</w:t>
      </w:r>
    </w:p>
    <w:p>
      <w:pPr>
        <w:spacing w:after="160" w:line="320"/>
        <w:jc w:val="both"/>
      </w:pPr>
      <w:r>
        <w:rPr>
          <w:rFonts w:ascii="Georgia" w:cs="Georgia" w:eastAsia="Georgia" w:hAnsi="Georgia"/>
          <w:color w:val="5A5A5A"/>
          <w:sz w:val="22"/>
          <w:szCs w:val="22"/>
        </w:rPr>
        <w:t xml:space="preserve">The case for including Sentinel is strengthened by a course-level consideration. Module 2, Topic 4 of INFO 5001 uses the 2023–2024 Microsoft cyberattack by Nobelium / Midnight Blizzard (Microsoft Security Response Center, 2024) as a flagship case study of cyber-intrusion investigation. That attack employed password spraying (T1110.003) against legacy non-production tenant accounts (T1078, Valid Accounts) to gain initial access and then access corporate email (T1114, Email Collection). These are precisely the techniques that a cloud-native SIEM ingesting Azure AD logs is built to detect, and that an on-host EDR consuming endpoint process telemetry would be expected to detect less effectively.</w:t>
      </w:r>
    </w:p>
    <w:p>
      <w:pPr>
        <w:spacing w:after="160" w:line="320"/>
        <w:jc w:val="both"/>
      </w:pPr>
      <w:r>
        <w:rPr>
          <w:rFonts w:ascii="Georgia" w:cs="Georgia" w:eastAsia="Georgia" w:hAnsi="Georgia"/>
          <w:color w:val="5A5A5A"/>
          <w:sz w:val="22"/>
          <w:szCs w:val="22"/>
        </w:rPr>
        <w:t xml:space="preserve">Combining the methodological case (W2: missing major vendor) with the course-anchored case (the Midnight Blizzard attack class is the canonical Sentinel use-case and is taught in the course) motivates a pre-registered hypothesis. Before any analysis is conducted, this report commits to the following claim:</w:t>
      </w:r>
    </w:p>
    <w:p>
      <w:pPr>
        <w:spacing w:after="160" w:line="320"/>
        <w:jc w:val="both"/>
      </w:pPr>
      <w:r>
        <w:rPr>
          <w:rFonts w:ascii="Georgia" w:cs="Georgia" w:eastAsia="Georgia" w:hAnsi="Georgia"/>
          <w:b/>
          <w:bCs/>
          <w:color w:val="5A5A5A"/>
          <w:sz w:val="22"/>
          <w:szCs w:val="22"/>
        </w:rPr>
        <w:t xml:space="preserve">Pre-registered hypothesis: </w:t>
      </w:r>
      <w:r>
        <w:rPr>
          <w:rFonts w:ascii="Georgia" w:cs="Georgia" w:eastAsia="Georgia" w:hAnsi="Georgia"/>
          <w:color w:val="5A5A5A"/>
          <w:sz w:val="22"/>
          <w:szCs w:val="22"/>
        </w:rPr>
        <w:t xml:space="preserve">Microsoft Sentinel, as a cloud-native SIEM with strong identity and cloud-workload focus, will show measurably higher coverage of techniques relevant to cloud and identity attack chains (specifically T1078 Valid Accounts, T1098 Account Manipulation, T1530 Data from Cloud Storage, T1110 Brute Force including Password Spraying) than the three on-host EDR products in the original paper, and may show comparable or lower coverage of techniques requiring on-host telemetry (specifically T1547 Boot or Logon Autostart Execution, T1543 Create or Modify System Process, T1574 Hijack Execution Flow, T1055 Process Injection).</w:t>
      </w:r>
    </w:p>
    <w:p>
      <w:pPr>
        <w:spacing w:after="160" w:line="320"/>
        <w:jc w:val="both"/>
      </w:pPr>
      <w:r>
        <w:rPr>
          <w:rFonts w:ascii="Georgia" w:cs="Georgia" w:eastAsia="Georgia" w:hAnsi="Georgia"/>
          <w:color w:val="5A5A5A"/>
          <w:sz w:val="22"/>
          <w:szCs w:val="22"/>
        </w:rPr>
        <w:t xml:space="preserve">The hypothesis is structured to be falsifiable. If Sentinel's rule counts for cloud/identity techniques are not greater than Splunk and Elastic's rule counts, the hypothesis fails. If Sentinel's rule counts for host-only techniques are not less than Splunk and Elastic's, the hypothesis fails. The result either way is informative: confirmation supports the claim that ATT&amp;CK coverage is partly an artefact of telemetry architecture; refutation would imply that cloud-native SIEMs are not, in fact, structurally distinct from on-host EDRs in their coverage profile, which would itself be a counter-intuitive and therefore interesting finding.</w:t>
      </w:r>
    </w:p>
    <w:p>
      <w:pPr>
        <w:pStyle w:val="Heading2"/>
        <w:spacing w:after="160" w:before="280"/>
      </w:pPr>
      <w:r>
        <w:rPr>
          <w:rFonts w:ascii="Georgia" w:cs="Georgia" w:eastAsia="Georgia" w:hAnsi="Georgia"/>
          <w:b/>
          <w:bCs/>
          <w:color w:val="140F50"/>
          <w:sz w:val="24"/>
          <w:szCs w:val="24"/>
          <w:u w:val="single"/>
        </w:rPr>
        <w:t xml:space="preserve">2. </w:t>
      </w:r>
      <w:r>
        <w:rPr>
          <w:rFonts w:ascii="Georgia" w:cs="Georgia" w:eastAsia="Georgia" w:hAnsi="Georgia"/>
          <w:b/>
          <w:bCs/>
          <w:color w:val="140F50"/>
          <w:sz w:val="24"/>
          <w:szCs w:val="24"/>
          <w:u w:val="single"/>
        </w:rPr>
        <w:t xml:space="preserve">Methodology</w:t>
      </w:r>
    </w:p>
    <w:p>
      <w:pPr>
        <w:spacing w:after="160" w:line="320"/>
        <w:jc w:val="both"/>
      </w:pPr>
      <w:r>
        <w:rPr>
          <w:rFonts w:ascii="Georgia" w:cs="Georgia" w:eastAsia="Georgia" w:hAnsi="Georgia"/>
          <w:color w:val="5A5A5A"/>
          <w:sz w:val="22"/>
          <w:szCs w:val="22"/>
        </w:rPr>
        <w:t xml:space="preserve">Microsoft maintains a public, ATT&amp;CK-tagged CSV of Sentinel detection rules in the MSTIC public feeds repository at github.com/microsoft/mstic/blob/master/PublicFeeds/MITREATT%26CK/MicrosoftSentinel.csv (Microsoft Threat Intelligence Center, 2022). The CSV contains 10,132 raw rows with 18 columns spanning Tactic, TechniqueId, Platform, DetectionType, DetectionService, DetectionId, DetectionName, DetectionDescription, ConnectorId, DataTypes, Query, QueryFrequency, QueryPeriod, TriggerOperator, TriggerThreshold, DetectionSeverity, DetectionUrl, and IngestedDate. All entries carry an IngestedDate of 2022-08-07, confirming the feed is a single snapshot rather than a rolling export.</w:t>
      </w:r>
    </w:p>
    <w:p>
      <w:pPr>
        <w:spacing w:after="160" w:line="320"/>
        <w:jc w:val="both"/>
      </w:pPr>
      <w:r>
        <w:rPr>
          <w:rFonts w:ascii="Georgia" w:cs="Georgia" w:eastAsia="Georgia" w:hAnsi="Georgia"/>
          <w:color w:val="5A5A5A"/>
          <w:sz w:val="22"/>
          <w:szCs w:val="22"/>
        </w:rPr>
        <w:t xml:space="preserve">Transforming the Sentinel CSV into a format structurally comparable to Virkud et al.'s Splunk, Elastic, and Sigma DataFrames required four methodological decisions. Each decision is documented here with the rationale, since the choices have direct consequences for the comparison.</w:t>
      </w:r>
    </w:p>
    <w:p>
      <w:pPr>
        <w:pStyle w:val="Heading3"/>
        <w:spacing w:after="100" w:before="220"/>
      </w:pPr>
      <w:r>
        <w:rPr>
          <w:rFonts w:ascii="Georgia" w:cs="Georgia" w:eastAsia="Georgia" w:hAnsi="Georgia"/>
          <w:b/>
          <w:bCs/>
          <w:color w:val="140F50"/>
          <w:sz w:val="22"/>
          <w:szCs w:val="22"/>
        </w:rPr>
        <w:t xml:space="preserve">2.1 Filter to Analytics rules only</w:t>
      </w:r>
    </w:p>
    <w:p>
      <w:pPr>
        <w:spacing w:after="160" w:line="320"/>
        <w:jc w:val="both"/>
      </w:pPr>
      <w:r>
        <w:rPr>
          <w:rFonts w:ascii="Georgia" w:cs="Georgia" w:eastAsia="Georgia" w:hAnsi="Georgia"/>
          <w:color w:val="5A5A5A"/>
          <w:sz w:val="22"/>
          <w:szCs w:val="22"/>
        </w:rPr>
        <w:t xml:space="preserve">Sentinel's DetectionType column has three values: Analytics (4,308 rows), Hunting (3,607 rows), and Fusion (2,217 rows). Analytics rules are active detection rules that fire automated alerts, directly equivalent to Splunk's detection rules, Elastic's production-maturity rules, and Sigma's stable rules. Hunting queries are investigative tools that SOC analysts run on demand to search for indicators of compromise. Fusion detections are outputs of Microsoft's ML-driven correlation engine, which combines signals from multiple sources rather than firing on individual rule patterns.</w:t>
      </w:r>
    </w:p>
    <w:p>
      <w:pPr>
        <w:spacing w:after="160" w:line="320"/>
        <w:jc w:val="both"/>
      </w:pPr>
      <w:r>
        <w:rPr>
          <w:rFonts w:ascii="Georgia" w:cs="Georgia" w:eastAsia="Georgia" w:hAnsi="Georgia"/>
          <w:color w:val="5A5A5A"/>
          <w:sz w:val="22"/>
          <w:szCs w:val="22"/>
        </w:rPr>
        <w:t xml:space="preserve">For apples-to-apples comparison with Virkud et al.'s rule-counting methodology, this analysis filters to DetectionType == “Analytics” only. Including Hunting queries would inflate Sentinel's coverage with rules that are not active in the same operational sense as the comparators. Including Fusion would introduce a different class of detection entirely (correlation-based rather than signature-based) and would violate the paper's scope of signature-based detection rulesets. The Analytics-only filter is the methodologically conservative choice and is documented in the extension's adapter module.</w:t>
      </w:r>
    </w:p>
    <w:p>
      <w:pPr>
        <w:pStyle w:val="Heading3"/>
        <w:spacing w:after="100" w:before="220"/>
      </w:pPr>
      <w:r>
        <w:rPr>
          <w:rFonts w:ascii="Georgia" w:cs="Georgia" w:eastAsia="Georgia" w:hAnsi="Georgia"/>
          <w:b/>
          <w:bCs/>
          <w:color w:val="140F50"/>
          <w:sz w:val="22"/>
          <w:szCs w:val="22"/>
        </w:rPr>
        <w:t xml:space="preserve">2.2 Deduplicate by DetectionId across platforms</w:t>
      </w:r>
    </w:p>
    <w:p>
      <w:pPr>
        <w:spacing w:after="160" w:line="320"/>
        <w:jc w:val="both"/>
      </w:pPr>
      <w:r>
        <w:rPr>
          <w:rFonts w:ascii="Georgia" w:cs="Georgia" w:eastAsia="Georgia" w:hAnsi="Georgia"/>
          <w:color w:val="5A5A5A"/>
          <w:sz w:val="22"/>
          <w:szCs w:val="22"/>
        </w:rPr>
        <w:t xml:space="preserve">The Sentinel CSV represents each rule once per supported platform: the same rule covering Azure, Windows, and Linux appears as three rows with identical DetectionId values. After Analytics filtering, 3,107 rows reduce to 349 unique rules when deduplicated by DetectionId. Platforms are aggregated into a list per rule and preserved as metadata, so platform information is not lost; it simply moves from the row dimension to a column.</w:t>
      </w:r>
    </w:p>
    <w:p>
      <w:pPr>
        <w:pStyle w:val="Heading3"/>
        <w:spacing w:after="100" w:before="220"/>
      </w:pPr>
      <w:r>
        <w:rPr>
          <w:rFonts w:ascii="Georgia" w:cs="Georgia" w:eastAsia="Georgia" w:hAnsi="Georgia"/>
          <w:b/>
          <w:bCs/>
          <w:color w:val="140F50"/>
          <w:sz w:val="22"/>
          <w:szCs w:val="22"/>
        </w:rPr>
        <w:t xml:space="preserve">2.3 Drop rows with invalid TechniqueId</w:t>
      </w:r>
    </w:p>
    <w:p>
      <w:pPr>
        <w:spacing w:after="160" w:line="320"/>
        <w:jc w:val="both"/>
      </w:pPr>
      <w:r>
        <w:rPr>
          <w:rFonts w:ascii="Georgia" w:cs="Georgia" w:eastAsia="Georgia" w:hAnsi="Georgia"/>
          <w:color w:val="5A5A5A"/>
          <w:sz w:val="22"/>
          <w:szCs w:val="22"/>
        </w:rPr>
        <w:t xml:space="preserve">Sentinel's CSV includes 3,126 rows with no TechniqueId (some rules are platform-level detections that do not map to specific ATT&amp;CK techniques) and a small number of rows with the placeholder string “N.A.”. These are excluded from the analysis, matching the Virkud et al. methodology of analysing only rules that have ATT&amp;CK technique annotations.</w:t>
      </w:r>
    </w:p>
    <w:p>
      <w:pPr>
        <w:pStyle w:val="Heading3"/>
        <w:spacing w:after="100" w:before="220"/>
      </w:pPr>
      <w:r>
        <w:rPr>
          <w:rFonts w:ascii="Georgia" w:cs="Georgia" w:eastAsia="Georgia" w:hAnsi="Georgia"/>
          <w:b/>
          <w:bCs/>
          <w:color w:val="140F50"/>
          <w:sz w:val="22"/>
          <w:szCs w:val="22"/>
        </w:rPr>
        <w:t xml:space="preserve">2.4 Apply parent-technique aggregation (drop_subtechniques)</w:t>
      </w:r>
    </w:p>
    <w:p>
      <w:pPr>
        <w:spacing w:after="160" w:line="320"/>
        <w:jc w:val="both"/>
      </w:pPr>
      <w:r>
        <w:rPr>
          <w:rFonts w:ascii="Georgia" w:cs="Georgia" w:eastAsia="Georgia" w:hAnsi="Georgia"/>
          <w:color w:val="5A5A5A"/>
          <w:sz w:val="22"/>
          <w:szCs w:val="22"/>
        </w:rPr>
        <w:t xml:space="preserve">The paper's analysis truncates sub-techniques to their parent (T1003.001 → T1003), matching the approach taken in Virkud et al.'s drop_subtechniques helper. The Sentinel adapter applies the same transformation for consistency. This is a meaningful choice: keeping sub-techniques would slightly inflate the coverage number for all rulesets, including the comparators, and this report follows the paper's convention.</w:t>
      </w:r>
    </w:p>
    <w:p>
      <w:pPr>
        <w:pStyle w:val="Heading3"/>
        <w:spacing w:after="100" w:before="220"/>
      </w:pPr>
      <w:r>
        <w:rPr>
          <w:rFonts w:ascii="Georgia" w:cs="Georgia" w:eastAsia="Georgia" w:hAnsi="Georgia"/>
          <w:b/>
          <w:bCs/>
          <w:color w:val="140F50"/>
          <w:sz w:val="22"/>
          <w:szCs w:val="22"/>
        </w:rPr>
        <w:t xml:space="preserve">2.5 Implementation</w:t>
      </w:r>
    </w:p>
    <w:p>
      <w:pPr>
        <w:spacing w:after="160" w:line="320"/>
        <w:jc w:val="both"/>
      </w:pPr>
      <w:r>
        <w:rPr>
          <w:rFonts w:ascii="Georgia" w:cs="Georgia" w:eastAsia="Georgia" w:hAnsi="Georgia"/>
          <w:color w:val="5A5A5A"/>
          <w:sz w:val="22"/>
          <w:szCs w:val="22"/>
        </w:rPr>
        <w:t xml:space="preserve">The extension is implemented as two modular Python modules and one Jupyter notebook. The structure mirrors the modular separation of the original artefact:</w:t>
      </w:r>
    </w:p>
    <w:p>
      <w:pPr>
        <w:pStyle w:val="ListParagraph"/>
        <w:numPr>
          <w:ilvl w:val="0"/>
          <w:numId w:val="2"/>
        </w:numPr>
        <w:spacing w:after="120" w:line="300"/>
        <w:jc w:val="both"/>
      </w:pPr>
      <w:r>
        <w:rPr>
          <w:rFonts w:ascii="Georgia" w:cs="Georgia" w:eastAsia="Georgia" w:hAnsi="Georgia"/>
          <w:color w:val="5A5A5A"/>
          <w:sz w:val="22"/>
          <w:szCs w:val="22"/>
        </w:rPr>
        <w:t xml:space="preserve">sentinel_adapter.py loads, filters, deduplicates, and transforms the Microsoft Sentinel CSV into a Virkud-compatible DataFrame, and provides analysis helpers (technique coverage summary, Sentinel-unique technique identification, hypothesis test, Spearman correlation alignment).</w:t>
      </w:r>
    </w:p>
    <w:p>
      <w:pPr>
        <w:pStyle w:val="ListParagraph"/>
        <w:numPr>
          <w:ilvl w:val="0"/>
          <w:numId w:val="2"/>
        </w:numPr>
        <w:spacing w:after="120" w:line="300"/>
        <w:jc w:val="both"/>
      </w:pPr>
      <w:r>
        <w:rPr>
          <w:rFonts w:ascii="Georgia" w:cs="Georgia" w:eastAsia="Georgia" w:hAnsi="Georgia"/>
          <w:color w:val="5A5A5A"/>
          <w:sz w:val="22"/>
          <w:szCs w:val="22"/>
        </w:rPr>
        <w:t xml:space="preserve">virkud_loader.py wraps the data-loading logic from the original RQ1 notebook into reusable functions, including the np.NaN-to-np.nan patch documented in Section V.4.</w:t>
      </w:r>
    </w:p>
    <w:p>
      <w:pPr>
        <w:pStyle w:val="ListParagraph"/>
        <w:numPr>
          <w:ilvl w:val="0"/>
          <w:numId w:val="2"/>
        </w:numPr>
        <w:spacing w:after="120" w:line="300"/>
        <w:jc w:val="both"/>
      </w:pPr>
      <w:r>
        <w:rPr>
          <w:rFonts w:ascii="Georgia" w:cs="Georgia" w:eastAsia="Georgia" w:hAnsi="Georgia"/>
          <w:color w:val="5A5A5A"/>
          <w:sz w:val="22"/>
          <w:szCs w:val="22"/>
        </w:rPr>
        <w:t xml:space="preserve">sentinel_rq1_analysis.ipynb is a clean analysis notebook that imports both modules, loads all five rulesets, and runs the three core analyses (coverage summary, hypothesis test, Spearman correlations). The notebook produces the figures and tables referenced in Section VI.3.</w:t>
      </w:r>
    </w:p>
    <w:p>
      <w:pPr>
        <w:spacing w:after="160" w:line="320"/>
        <w:jc w:val="both"/>
      </w:pPr>
      <w:r>
        <w:rPr>
          <w:rFonts w:ascii="Georgia" w:cs="Georgia" w:eastAsia="Georgia" w:hAnsi="Georgia"/>
          <w:color w:val="5A5A5A"/>
          <w:sz w:val="22"/>
          <w:szCs w:val="22"/>
        </w:rPr>
        <w:t xml:space="preserve">The full source for both Python modules and the notebook is included in the project's submission directory under extension/notebooks/. All outputs (CSV summaries, unique technique lists) are saved to extension/outputs/ for inclusion in this report.</w:t>
      </w:r>
    </w:p>
    <w:p>
      <w:pPr>
        <w:pStyle w:val="Heading2"/>
        <w:spacing w:after="160" w:before="280"/>
      </w:pPr>
      <w:r>
        <w:rPr>
          <w:rFonts w:ascii="Georgia" w:cs="Georgia" w:eastAsia="Georgia" w:hAnsi="Georgia"/>
          <w:b/>
          <w:bCs/>
          <w:color w:val="140F50"/>
          <w:sz w:val="24"/>
          <w:szCs w:val="24"/>
          <w:u w:val="single"/>
        </w:rPr>
        <w:t xml:space="preserve">3. </w:t>
      </w:r>
      <w:r>
        <w:rPr>
          <w:rFonts w:ascii="Georgia" w:cs="Georgia" w:eastAsia="Georgia" w:hAnsi="Georgia"/>
          <w:b/>
          <w:bCs/>
          <w:color w:val="140F50"/>
          <w:sz w:val="24"/>
          <w:szCs w:val="24"/>
          <w:u w:val="single"/>
        </w:rPr>
        <w:t xml:space="preserve">Results</w:t>
      </w:r>
    </w:p>
    <w:p>
      <w:pPr>
        <w:spacing w:after="160" w:line="320"/>
        <w:jc w:val="both"/>
      </w:pPr>
      <w:r>
        <w:rPr>
          <w:rFonts w:ascii="Georgia" w:cs="Georgia" w:eastAsia="Georgia" w:hAnsi="Georgia"/>
          <w:color w:val="5A5A5A"/>
          <w:sz w:val="22"/>
          <w:szCs w:val="22"/>
        </w:rPr>
        <w:t xml:space="preserve">The Sentinel extension produces three converging findings that confirm the pre-registered hypothesis at high magnitude and add a third failure mode to Virkud et al.'s critique of ATT&amp;CK-as-security-metric.</w:t>
      </w:r>
    </w:p>
    <w:p>
      <w:pPr>
        <w:pStyle w:val="Heading3"/>
        <w:spacing w:after="100" w:before="220"/>
      </w:pPr>
      <w:r>
        <w:rPr>
          <w:rFonts w:ascii="Georgia" w:cs="Georgia" w:eastAsia="Georgia" w:hAnsi="Georgia"/>
          <w:b/>
          <w:bCs/>
          <w:color w:val="140F50"/>
          <w:sz w:val="22"/>
          <w:szCs w:val="22"/>
        </w:rPr>
        <w:t xml:space="preserve">3.1 Finding 1 — Coverage breadth</w:t>
      </w:r>
    </w:p>
    <w:p>
      <w:pPr>
        <w:spacing w:after="160" w:line="320"/>
        <w:jc w:val="both"/>
      </w:pPr>
      <w:r>
        <w:rPr>
          <w:rFonts w:ascii="Georgia" w:cs="Georgia" w:eastAsia="Georgia" w:hAnsi="Georgia"/>
          <w:color w:val="5A5A5A"/>
          <w:sz w:val="22"/>
          <w:szCs w:val="22"/>
        </w:rPr>
        <w:t xml:space="preserve">After applying the methodology in Section VI.2, the Microsoft Sentinel ruleset reduces to 349 unique Analytics rules covering 81 unique parent-technique IDs in ATT&amp;CK Version 11. This corresponds to a coverage of 41.4% of the 191 parent techniques in ATT&amp;CK v11. Table 6.1 shows the coverage comparison across all five rulesets.</w:t>
      </w:r>
    </w:p>
    <w:p>
      <w:pPr>
        <w:spacing w:after="160" w:line="320"/>
        <w:jc w:val="both"/>
      </w:pPr>
      <w:r>
        <w:rPr>
          <w:rFonts w:ascii="Georgia" w:cs="Georgia" w:eastAsia="Georgia" w:hAnsi="Georgia"/>
          <w:b/>
          <w:bCs/>
          <w:color w:val="140F50"/>
          <w:sz w:val="22"/>
          <w:szCs w:val="22"/>
        </w:rPr>
        <w:t xml:space="preserve">Table 6.1: </w:t>
      </w:r>
      <w:r>
        <w:rPr>
          <w:rFonts w:ascii="Georgia" w:cs="Georgia" w:eastAsia="Georgia" w:hAnsi="Georgia"/>
          <w:i/>
          <w:iCs/>
          <w:color w:val="5A5A5A"/>
          <w:sz w:val="22"/>
          <w:szCs w:val="22"/>
        </w:rPr>
        <w:t xml:space="preserve">Coverage comparison across the five rulesets, after applying the parent-technique aggregation used in Virkud et 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480"/>
        <w:gridCol w:w="2480"/>
      </w:tblGrid>
      <w:tr>
        <w:trPr>
          <w:tblHeader/>
        </w:trPr>
        <w:tc>
          <w:tcPr>
            <w:tcW w:type="dxa" w:w="2400"/>
            <w:tcBorders>
              <w:top w:val="single" w:color="BFBFBF" w:sz="4"/>
              <w:left w:val="single" w:color="BFBFBF" w:sz="4"/>
              <w:bottom w:val="single" w:color="BFBFBF" w:sz="4"/>
              <w:right w:val="single" w:color="BFBFBF" w:sz="4"/>
            </w:tcBorders>
            <w:shd w:fill="140F50" w:val="clear"/>
            <w:tcMar>
              <w:top w:type="dxa" w:w="80"/>
              <w:left w:type="dxa" w:w="120"/>
              <w:bottom w:type="dxa" w:w="80"/>
              <w:right w:type="dxa" w:w="120"/>
            </w:tcMar>
          </w:tcPr>
          <w:p>
            <w:pPr>
              <w:jc w:val="center"/>
            </w:pPr>
            <w:r>
              <w:rPr>
                <w:rFonts w:ascii="Georgia" w:cs="Georgia" w:eastAsia="Georgia" w:hAnsi="Georgia"/>
                <w:b/>
                <w:bCs/>
                <w:color w:val="FFFFFF"/>
                <w:sz w:val="20"/>
                <w:szCs w:val="20"/>
              </w:rPr>
              <w:t xml:space="preserve">Ruleset</w:t>
            </w:r>
          </w:p>
        </w:tc>
        <w:tc>
          <w:tcPr>
            <w:tcW w:type="dxa" w:w="2000"/>
            <w:tcBorders>
              <w:top w:val="single" w:color="BFBFBF" w:sz="4"/>
              <w:left w:val="single" w:color="BFBFBF" w:sz="4"/>
              <w:bottom w:val="single" w:color="BFBFBF" w:sz="4"/>
              <w:right w:val="single" w:color="BFBFBF" w:sz="4"/>
            </w:tcBorders>
            <w:shd w:fill="140F50" w:val="clear"/>
            <w:tcMar>
              <w:top w:type="dxa" w:w="80"/>
              <w:left w:type="dxa" w:w="120"/>
              <w:bottom w:type="dxa" w:w="80"/>
              <w:right w:type="dxa" w:w="120"/>
            </w:tcMar>
          </w:tcPr>
          <w:p>
            <w:pPr>
              <w:jc w:val="center"/>
            </w:pPr>
            <w:r>
              <w:rPr>
                <w:rFonts w:ascii="Georgia" w:cs="Georgia" w:eastAsia="Georgia" w:hAnsi="Georgia"/>
                <w:b/>
                <w:bCs/>
                <w:color w:val="FFFFFF"/>
                <w:sz w:val="20"/>
                <w:szCs w:val="20"/>
              </w:rPr>
              <w:t xml:space="preserve"># Rules</w:t>
            </w:r>
          </w:p>
        </w:tc>
        <w:tc>
          <w:tcPr>
            <w:tcW w:type="dxa" w:w="2480"/>
            <w:tcBorders>
              <w:top w:val="single" w:color="BFBFBF" w:sz="4"/>
              <w:left w:val="single" w:color="BFBFBF" w:sz="4"/>
              <w:bottom w:val="single" w:color="BFBFBF" w:sz="4"/>
              <w:right w:val="single" w:color="BFBFBF" w:sz="4"/>
            </w:tcBorders>
            <w:shd w:fill="140F50" w:val="clear"/>
            <w:tcMar>
              <w:top w:type="dxa" w:w="80"/>
              <w:left w:type="dxa" w:w="120"/>
              <w:bottom w:type="dxa" w:w="80"/>
              <w:right w:type="dxa" w:w="120"/>
            </w:tcMar>
          </w:tcPr>
          <w:p>
            <w:pPr>
              <w:jc w:val="center"/>
            </w:pPr>
            <w:r>
              <w:rPr>
                <w:rFonts w:ascii="Georgia" w:cs="Georgia" w:eastAsia="Georgia" w:hAnsi="Georgia"/>
                <w:b/>
                <w:bCs/>
                <w:color w:val="FFFFFF"/>
                <w:sz w:val="20"/>
                <w:szCs w:val="20"/>
              </w:rPr>
              <w:t xml:space="preserve"># Unique Techniques</w:t>
            </w:r>
          </w:p>
        </w:tc>
        <w:tc>
          <w:tcPr>
            <w:tcW w:type="dxa" w:w="2480"/>
            <w:tcBorders>
              <w:top w:val="single" w:color="BFBFBF" w:sz="4"/>
              <w:left w:val="single" w:color="BFBFBF" w:sz="4"/>
              <w:bottom w:val="single" w:color="BFBFBF" w:sz="4"/>
              <w:right w:val="single" w:color="BFBFBF" w:sz="4"/>
            </w:tcBorders>
            <w:shd w:fill="140F50" w:val="clear"/>
            <w:tcMar>
              <w:top w:type="dxa" w:w="80"/>
              <w:left w:type="dxa" w:w="120"/>
              <w:bottom w:type="dxa" w:w="80"/>
              <w:right w:type="dxa" w:w="120"/>
            </w:tcMar>
          </w:tcPr>
          <w:p>
            <w:pPr>
              <w:jc w:val="center"/>
            </w:pPr>
            <w:r>
              <w:rPr>
                <w:rFonts w:ascii="Georgia" w:cs="Georgia" w:eastAsia="Georgia" w:hAnsi="Georgia"/>
                <w:b/>
                <w:bCs/>
                <w:color w:val="FFFFFF"/>
                <w:sz w:val="20"/>
                <w:szCs w:val="20"/>
              </w:rPr>
              <w:t xml:space="preserve">% Coverage (ATT&amp;CK v11)</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Georgia" w:cs="Georgia" w:eastAsia="Georgia" w:hAnsi="Georgia"/>
                <w:b w:val="false"/>
                <w:bCs w:val="false"/>
                <w:color w:val="5A5A5A"/>
                <w:sz w:val="20"/>
                <w:szCs w:val="20"/>
              </w:rPr>
              <w:t xml:space="preserve">Splunk</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Georgia" w:cs="Georgia" w:eastAsia="Georgia" w:hAnsi="Georgia"/>
                <w:b w:val="false"/>
                <w:bCs w:val="false"/>
                <w:color w:val="5A5A5A"/>
                <w:sz w:val="20"/>
                <w:szCs w:val="20"/>
              </w:rPr>
              <w:t xml:space="preserve">911</w:t>
            </w:r>
          </w:p>
        </w:tc>
        <w:tc>
          <w:tcPr>
            <w:tcW w:type="dxa" w:w="24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Georgia" w:cs="Georgia" w:eastAsia="Georgia" w:hAnsi="Georgia"/>
                <w:b w:val="false"/>
                <w:bCs w:val="false"/>
                <w:color w:val="5A5A5A"/>
                <w:sz w:val="20"/>
                <w:szCs w:val="20"/>
              </w:rPr>
              <w:t xml:space="preserve">100</w:t>
            </w:r>
          </w:p>
        </w:tc>
        <w:tc>
          <w:tcPr>
            <w:tcW w:type="dxa" w:w="24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Georgia" w:cs="Georgia" w:eastAsia="Georgia" w:hAnsi="Georgia"/>
                <w:b w:val="false"/>
                <w:bCs w:val="false"/>
                <w:color w:val="5A5A5A"/>
                <w:sz w:val="20"/>
                <w:szCs w:val="20"/>
              </w:rPr>
              <w:t xml:space="preserve">52.4%</w:t>
            </w:r>
          </w:p>
        </w:tc>
      </w:tr>
      <w:tr>
        <w:tc>
          <w:tcPr>
            <w:tcW w:type="dxa" w:w="24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rFonts w:ascii="Georgia" w:cs="Georgia" w:eastAsia="Georgia" w:hAnsi="Georgia"/>
                <w:b w:val="false"/>
                <w:bCs w:val="false"/>
                <w:color w:val="5A5A5A"/>
                <w:sz w:val="20"/>
                <w:szCs w:val="20"/>
              </w:rPr>
              <w:t xml:space="preserve">Elastic</w:t>
            </w:r>
          </w:p>
        </w:tc>
        <w:tc>
          <w:tcPr>
            <w:tcW w:type="dxa" w:w="20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center"/>
            </w:pPr>
            <w:r>
              <w:rPr>
                <w:rFonts w:ascii="Georgia" w:cs="Georgia" w:eastAsia="Georgia" w:hAnsi="Georgia"/>
                <w:b w:val="false"/>
                <w:bCs w:val="false"/>
                <w:color w:val="5A5A5A"/>
                <w:sz w:val="20"/>
                <w:szCs w:val="20"/>
              </w:rPr>
              <w:t xml:space="preserve">473</w:t>
            </w:r>
          </w:p>
        </w:tc>
        <w:tc>
          <w:tcPr>
            <w:tcW w:type="dxa" w:w="248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center"/>
            </w:pPr>
            <w:r>
              <w:rPr>
                <w:rFonts w:ascii="Georgia" w:cs="Georgia" w:eastAsia="Georgia" w:hAnsi="Georgia"/>
                <w:b w:val="false"/>
                <w:bCs w:val="false"/>
                <w:color w:val="5A5A5A"/>
                <w:sz w:val="20"/>
                <w:szCs w:val="20"/>
              </w:rPr>
              <w:t xml:space="preserve">92</w:t>
            </w:r>
          </w:p>
        </w:tc>
        <w:tc>
          <w:tcPr>
            <w:tcW w:type="dxa" w:w="248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center"/>
            </w:pPr>
            <w:r>
              <w:rPr>
                <w:rFonts w:ascii="Georgia" w:cs="Georgia" w:eastAsia="Georgia" w:hAnsi="Georgia"/>
                <w:b w:val="false"/>
                <w:bCs w:val="false"/>
                <w:color w:val="5A5A5A"/>
                <w:sz w:val="20"/>
                <w:szCs w:val="20"/>
              </w:rPr>
              <w:t xml:space="preserve">48.2%</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Georgia" w:cs="Georgia" w:eastAsia="Georgia" w:hAnsi="Georgia"/>
                <w:b w:val="false"/>
                <w:bCs w:val="false"/>
                <w:color w:val="5A5A5A"/>
                <w:sz w:val="20"/>
                <w:szCs w:val="20"/>
              </w:rPr>
              <w:t xml:space="preserve">Sigma</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Georgia" w:cs="Georgia" w:eastAsia="Georgia" w:hAnsi="Georgia"/>
                <w:b w:val="false"/>
                <w:bCs w:val="false"/>
                <w:color w:val="5A5A5A"/>
                <w:sz w:val="20"/>
                <w:szCs w:val="20"/>
              </w:rPr>
              <w:t xml:space="preserve">2,195</w:t>
            </w:r>
          </w:p>
        </w:tc>
        <w:tc>
          <w:tcPr>
            <w:tcW w:type="dxa" w:w="24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Georgia" w:cs="Georgia" w:eastAsia="Georgia" w:hAnsi="Georgia"/>
                <w:b w:val="false"/>
                <w:bCs w:val="false"/>
                <w:color w:val="5A5A5A"/>
                <w:sz w:val="20"/>
                <w:szCs w:val="20"/>
              </w:rPr>
              <w:t xml:space="preserve">151</w:t>
            </w:r>
          </w:p>
        </w:tc>
        <w:tc>
          <w:tcPr>
            <w:tcW w:type="dxa" w:w="24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Georgia" w:cs="Georgia" w:eastAsia="Georgia" w:hAnsi="Georgia"/>
                <w:b w:val="false"/>
                <w:bCs w:val="false"/>
                <w:color w:val="5A5A5A"/>
                <w:sz w:val="20"/>
                <w:szCs w:val="20"/>
              </w:rPr>
              <w:t xml:space="preserve">79.1%</w:t>
            </w:r>
          </w:p>
        </w:tc>
      </w:tr>
      <w:tr>
        <w:tc>
          <w:tcPr>
            <w:tcW w:type="dxa" w:w="24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rFonts w:ascii="Georgia" w:cs="Georgia" w:eastAsia="Georgia" w:hAnsi="Georgia"/>
                <w:b w:val="false"/>
                <w:bCs w:val="false"/>
                <w:color w:val="5A5A5A"/>
                <w:sz w:val="20"/>
                <w:szCs w:val="20"/>
              </w:rPr>
              <w:t xml:space="preserve">Sentinel</w:t>
            </w:r>
          </w:p>
        </w:tc>
        <w:tc>
          <w:tcPr>
            <w:tcW w:type="dxa" w:w="20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center"/>
            </w:pPr>
            <w:r>
              <w:rPr>
                <w:rFonts w:ascii="Georgia" w:cs="Georgia" w:eastAsia="Georgia" w:hAnsi="Georgia"/>
                <w:b w:val="false"/>
                <w:bCs w:val="false"/>
                <w:color w:val="5A5A5A"/>
                <w:sz w:val="20"/>
                <w:szCs w:val="20"/>
              </w:rPr>
              <w:t xml:space="preserve">349</w:t>
            </w:r>
          </w:p>
        </w:tc>
        <w:tc>
          <w:tcPr>
            <w:tcW w:type="dxa" w:w="248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center"/>
            </w:pPr>
            <w:r>
              <w:rPr>
                <w:rFonts w:ascii="Georgia" w:cs="Georgia" w:eastAsia="Georgia" w:hAnsi="Georgia"/>
                <w:b w:val="false"/>
                <w:bCs w:val="false"/>
                <w:color w:val="5A5A5A"/>
                <w:sz w:val="20"/>
                <w:szCs w:val="20"/>
              </w:rPr>
              <w:t xml:space="preserve">81</w:t>
            </w:r>
          </w:p>
        </w:tc>
        <w:tc>
          <w:tcPr>
            <w:tcW w:type="dxa" w:w="248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center"/>
            </w:pPr>
            <w:r>
              <w:rPr>
                <w:rFonts w:ascii="Georgia" w:cs="Georgia" w:eastAsia="Georgia" w:hAnsi="Georgia"/>
                <w:b w:val="false"/>
                <w:bCs w:val="false"/>
                <w:color w:val="5A5A5A"/>
                <w:sz w:val="20"/>
                <w:szCs w:val="20"/>
              </w:rPr>
              <w:t xml:space="preserve">41.4%</w:t>
            </w:r>
          </w:p>
        </w:tc>
      </w:tr>
    </w:tbl>
    <w:p>
      <w:pPr>
        <w:spacing w:after="160" w:line="320"/>
        <w:jc w:val="both"/>
      </w:pPr>
      <w:r>
        <w:rPr>
          <w:rFonts w:ascii="Georgia" w:cs="Georgia" w:eastAsia="Georgia" w:hAnsi="Georgia"/>
          <w:color w:val="5A5A5A"/>
          <w:sz w:val="22"/>
          <w:szCs w:val="22"/>
        </w:rPr>
        <w:t xml:space="preserve"> </w:t>
      </w:r>
    </w:p>
    <w:p>
      <w:pPr>
        <w:spacing w:after="160" w:line="320"/>
        <w:jc w:val="both"/>
      </w:pPr>
      <w:r>
        <w:rPr>
          <w:rFonts w:ascii="Georgia" w:cs="Georgia" w:eastAsia="Georgia" w:hAnsi="Georgia"/>
          <w:color w:val="5A5A5A"/>
          <w:sz w:val="22"/>
          <w:szCs w:val="22"/>
        </w:rPr>
        <w:t xml:space="preserve">Sentinel sits just below the commercial range that Virkud et al. report (Splunk 52.4%, Elastic 48.2%, with Carbon Black 55% per the paper). The 41.4% figure extends the commercial range from “48–55%” to “41–55%” when cloud-native SIEMs are included. This is the first finding: Sentinel's aggregate breadth is comparable to but slightly lower than the on-host EDR products, despite Sentinel having the smallest absolute rule count (349 versus Splunk's 911).</w:t>
      </w:r>
    </w:p>
    <w:p>
      <w:pPr>
        <w:spacing w:after="160" w:line="320"/>
        <w:jc w:val="both"/>
      </w:pPr>
      <w:r>
        <w:rPr>
          <w:rFonts w:ascii="Georgia" w:cs="Georgia" w:eastAsia="Georgia" w:hAnsi="Georgia"/>
          <w:color w:val="5A5A5A"/>
          <w:sz w:val="22"/>
          <w:szCs w:val="22"/>
        </w:rPr>
        <w:t xml:space="preserve">On its own, this aggregate figure is uninteresting. It could be explained by Sentinel simply being less mature, or having a narrower scope. The interesting question is what is in the 41.4%, which is the subject of the second finding.</w:t>
      </w:r>
    </w:p>
    <w:p>
      <w:pPr>
        <w:pStyle w:val="Heading3"/>
        <w:spacing w:after="100" w:before="220"/>
      </w:pPr>
      <w:r>
        <w:rPr>
          <w:rFonts w:ascii="Georgia" w:cs="Georgia" w:eastAsia="Georgia" w:hAnsi="Georgia"/>
          <w:b/>
          <w:bCs/>
          <w:color w:val="140F50"/>
          <w:sz w:val="22"/>
          <w:szCs w:val="22"/>
        </w:rPr>
        <w:t xml:space="preserve">3.2 Finding 2 — Pre-registered hypothesis confirmed at high magnitude</w:t>
      </w:r>
    </w:p>
    <w:p>
      <w:pPr>
        <w:spacing w:after="160" w:line="320"/>
        <w:jc w:val="both"/>
      </w:pPr>
      <w:r>
        <w:rPr>
          <w:rFonts w:ascii="Georgia" w:cs="Georgia" w:eastAsia="Georgia" w:hAnsi="Georgia"/>
          <w:color w:val="5A5A5A"/>
          <w:sz w:val="22"/>
          <w:szCs w:val="22"/>
        </w:rPr>
        <w:t xml:space="preserve">Table 6.2 shows the per-technique rule counts for the pre-registered cloud/identity techniques (top half) and the pre-registered host-only techniques (bottom half). The hypothesis predicts that the Sentinel column should exceed the Splunk and Elastic columns in the top half and fall below them in the bottom half.</w:t>
      </w:r>
    </w:p>
    <w:p>
      <w:pPr>
        <w:spacing w:after="160" w:line="320"/>
        <w:jc w:val="both"/>
      </w:pPr>
      <w:r>
        <w:rPr>
          <w:rFonts w:ascii="Georgia" w:cs="Georgia" w:eastAsia="Georgia" w:hAnsi="Georgia"/>
          <w:b/>
          <w:bCs/>
          <w:color w:val="140F50"/>
          <w:sz w:val="22"/>
          <w:szCs w:val="22"/>
        </w:rPr>
        <w:t xml:space="preserve">Table 6.2: </w:t>
      </w:r>
      <w:r>
        <w:rPr>
          <w:rFonts w:ascii="Georgia" w:cs="Georgia" w:eastAsia="Georgia" w:hAnsi="Georgia"/>
          <w:i/>
          <w:iCs/>
          <w:color w:val="5A5A5A"/>
          <w:sz w:val="22"/>
          <w:szCs w:val="22"/>
        </w:rPr>
        <w:t xml:space="preserve">Per-technique rule counts for pre-registered cloud/identity techniques (top) and host-only techniques (bottom).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260"/>
        <w:gridCol w:w="1200"/>
        <w:gridCol w:w="1200"/>
        <w:gridCol w:w="1200"/>
        <w:gridCol w:w="1400"/>
      </w:tblGrid>
      <w:tr>
        <w:trPr>
          <w:tblHeader/>
        </w:trPr>
        <w:tc>
          <w:tcPr>
            <w:tcW w:type="dxa" w:w="1100"/>
            <w:tcBorders>
              <w:top w:val="single" w:color="BFBFBF" w:sz="4"/>
              <w:left w:val="single" w:color="BFBFBF" w:sz="4"/>
              <w:bottom w:val="single" w:color="BFBFBF" w:sz="4"/>
              <w:right w:val="single" w:color="BFBFBF" w:sz="4"/>
            </w:tcBorders>
            <w:shd w:fill="140F50" w:val="clear"/>
            <w:tcMar>
              <w:top w:type="dxa" w:w="80"/>
              <w:left w:type="dxa" w:w="120"/>
              <w:bottom w:type="dxa" w:w="80"/>
              <w:right w:type="dxa" w:w="120"/>
            </w:tcMar>
          </w:tcPr>
          <w:p>
            <w:pPr>
              <w:jc w:val="center"/>
            </w:pPr>
            <w:r>
              <w:rPr>
                <w:rFonts w:ascii="Georgia" w:cs="Georgia" w:eastAsia="Georgia" w:hAnsi="Georgia"/>
                <w:b/>
                <w:bCs/>
                <w:color w:val="FFFFFF"/>
                <w:sz w:val="20"/>
                <w:szCs w:val="20"/>
              </w:rPr>
              <w:t xml:space="preserve">Technique</w:t>
            </w:r>
          </w:p>
        </w:tc>
        <w:tc>
          <w:tcPr>
            <w:tcW w:type="dxa" w:w="3260"/>
            <w:tcBorders>
              <w:top w:val="single" w:color="BFBFBF" w:sz="4"/>
              <w:left w:val="single" w:color="BFBFBF" w:sz="4"/>
              <w:bottom w:val="single" w:color="BFBFBF" w:sz="4"/>
              <w:right w:val="single" w:color="BFBFBF" w:sz="4"/>
            </w:tcBorders>
            <w:shd w:fill="140F50" w:val="clear"/>
            <w:tcMar>
              <w:top w:type="dxa" w:w="80"/>
              <w:left w:type="dxa" w:w="120"/>
              <w:bottom w:type="dxa" w:w="80"/>
              <w:right w:type="dxa" w:w="120"/>
            </w:tcMar>
          </w:tcPr>
          <w:p>
            <w:pPr>
              <w:jc w:val="center"/>
            </w:pPr>
            <w:r>
              <w:rPr>
                <w:rFonts w:ascii="Georgia" w:cs="Georgia" w:eastAsia="Georgia" w:hAnsi="Georgia"/>
                <w:b/>
                <w:bCs/>
                <w:color w:val="FFFFFF"/>
                <w:sz w:val="20"/>
                <w:szCs w:val="20"/>
              </w:rPr>
              <w:t xml:space="preserve">Name</w:t>
            </w:r>
          </w:p>
        </w:tc>
        <w:tc>
          <w:tcPr>
            <w:tcW w:type="dxa" w:w="1200"/>
            <w:tcBorders>
              <w:top w:val="single" w:color="BFBFBF" w:sz="4"/>
              <w:left w:val="single" w:color="BFBFBF" w:sz="4"/>
              <w:bottom w:val="single" w:color="BFBFBF" w:sz="4"/>
              <w:right w:val="single" w:color="BFBFBF" w:sz="4"/>
            </w:tcBorders>
            <w:shd w:fill="140F50" w:val="clear"/>
            <w:tcMar>
              <w:top w:type="dxa" w:w="80"/>
              <w:left w:type="dxa" w:w="120"/>
              <w:bottom w:type="dxa" w:w="80"/>
              <w:right w:type="dxa" w:w="120"/>
            </w:tcMar>
          </w:tcPr>
          <w:p>
            <w:pPr>
              <w:jc w:val="center"/>
            </w:pPr>
            <w:r>
              <w:rPr>
                <w:rFonts w:ascii="Georgia" w:cs="Georgia" w:eastAsia="Georgia" w:hAnsi="Georgia"/>
                <w:b/>
                <w:bCs/>
                <w:color w:val="FFFFFF"/>
                <w:sz w:val="20"/>
                <w:szCs w:val="20"/>
              </w:rPr>
              <w:t xml:space="preserve">Splunk</w:t>
            </w:r>
          </w:p>
        </w:tc>
        <w:tc>
          <w:tcPr>
            <w:tcW w:type="dxa" w:w="1200"/>
            <w:tcBorders>
              <w:top w:val="single" w:color="BFBFBF" w:sz="4"/>
              <w:left w:val="single" w:color="BFBFBF" w:sz="4"/>
              <w:bottom w:val="single" w:color="BFBFBF" w:sz="4"/>
              <w:right w:val="single" w:color="BFBFBF" w:sz="4"/>
            </w:tcBorders>
            <w:shd w:fill="140F50" w:val="clear"/>
            <w:tcMar>
              <w:top w:type="dxa" w:w="80"/>
              <w:left w:type="dxa" w:w="120"/>
              <w:bottom w:type="dxa" w:w="80"/>
              <w:right w:type="dxa" w:w="120"/>
            </w:tcMar>
          </w:tcPr>
          <w:p>
            <w:pPr>
              <w:jc w:val="center"/>
            </w:pPr>
            <w:r>
              <w:rPr>
                <w:rFonts w:ascii="Georgia" w:cs="Georgia" w:eastAsia="Georgia" w:hAnsi="Georgia"/>
                <w:b/>
                <w:bCs/>
                <w:color w:val="FFFFFF"/>
                <w:sz w:val="20"/>
                <w:szCs w:val="20"/>
              </w:rPr>
              <w:t xml:space="preserve">Elastic</w:t>
            </w:r>
          </w:p>
        </w:tc>
        <w:tc>
          <w:tcPr>
            <w:tcW w:type="dxa" w:w="1200"/>
            <w:tcBorders>
              <w:top w:val="single" w:color="BFBFBF" w:sz="4"/>
              <w:left w:val="single" w:color="BFBFBF" w:sz="4"/>
              <w:bottom w:val="single" w:color="BFBFBF" w:sz="4"/>
              <w:right w:val="single" w:color="BFBFBF" w:sz="4"/>
            </w:tcBorders>
            <w:shd w:fill="140F50" w:val="clear"/>
            <w:tcMar>
              <w:top w:type="dxa" w:w="80"/>
              <w:left w:type="dxa" w:w="120"/>
              <w:bottom w:type="dxa" w:w="80"/>
              <w:right w:type="dxa" w:w="120"/>
            </w:tcMar>
          </w:tcPr>
          <w:p>
            <w:pPr>
              <w:jc w:val="center"/>
            </w:pPr>
            <w:r>
              <w:rPr>
                <w:rFonts w:ascii="Georgia" w:cs="Georgia" w:eastAsia="Georgia" w:hAnsi="Georgia"/>
                <w:b/>
                <w:bCs/>
                <w:color w:val="FFFFFF"/>
                <w:sz w:val="20"/>
                <w:szCs w:val="20"/>
              </w:rPr>
              <w:t xml:space="preserve">Sigma</w:t>
            </w:r>
          </w:p>
        </w:tc>
        <w:tc>
          <w:tcPr>
            <w:tcW w:type="dxa" w:w="1400"/>
            <w:tcBorders>
              <w:top w:val="single" w:color="BFBFBF" w:sz="4"/>
              <w:left w:val="single" w:color="BFBFBF" w:sz="4"/>
              <w:bottom w:val="single" w:color="BFBFBF" w:sz="4"/>
              <w:right w:val="single" w:color="BFBFBF" w:sz="4"/>
            </w:tcBorders>
            <w:shd w:fill="140F50" w:val="clear"/>
            <w:tcMar>
              <w:top w:type="dxa" w:w="80"/>
              <w:left w:type="dxa" w:w="120"/>
              <w:bottom w:type="dxa" w:w="80"/>
              <w:right w:type="dxa" w:w="120"/>
            </w:tcMar>
          </w:tcPr>
          <w:p>
            <w:pPr>
              <w:jc w:val="center"/>
            </w:pPr>
            <w:r>
              <w:rPr>
                <w:rFonts w:ascii="Georgia" w:cs="Georgia" w:eastAsia="Georgia" w:hAnsi="Georgia"/>
                <w:b/>
                <w:bCs/>
                <w:color w:val="FFFFFF"/>
                <w:sz w:val="20"/>
                <w:szCs w:val="20"/>
              </w:rPr>
              <w:t xml:space="preserve">Sentinel</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Georgia" w:cs="Georgia" w:eastAsia="Georgia" w:hAnsi="Georgia"/>
                <w:b w:val="false"/>
                <w:bCs w:val="false"/>
                <w:color w:val="5A5A5A"/>
                <w:sz w:val="20"/>
                <w:szCs w:val="20"/>
              </w:rPr>
              <w:t xml:space="preserve">T1078</w:t>
            </w:r>
          </w:p>
        </w:tc>
        <w:tc>
          <w:tcPr>
            <w:tcW w:type="dxa" w:w="3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Georgia" w:cs="Georgia" w:eastAsia="Georgia" w:hAnsi="Georgia"/>
                <w:b w:val="false"/>
                <w:bCs w:val="false"/>
                <w:color w:val="5A5A5A"/>
                <w:sz w:val="20"/>
                <w:szCs w:val="20"/>
              </w:rPr>
              <w:t xml:space="preserve">Valid Accounts</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Georgia" w:cs="Georgia" w:eastAsia="Georgia" w:hAnsi="Georgia"/>
                <w:b w:val="false"/>
                <w:bCs w:val="false"/>
                <w:color w:val="5A5A5A"/>
                <w:sz w:val="20"/>
                <w:szCs w:val="20"/>
              </w:rPr>
              <w:t xml:space="preserve">39</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Georgia" w:cs="Georgia" w:eastAsia="Georgia" w:hAnsi="Georgia"/>
                <w:b w:val="false"/>
                <w:bCs w:val="false"/>
                <w:color w:val="5A5A5A"/>
                <w:sz w:val="20"/>
                <w:szCs w:val="20"/>
              </w:rPr>
              <w:t xml:space="preserve">13</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Georgia" w:cs="Georgia" w:eastAsia="Georgia" w:hAnsi="Georgia"/>
                <w:b w:val="false"/>
                <w:bCs w:val="false"/>
                <w:color w:val="5A5A5A"/>
                <w:sz w:val="20"/>
                <w:szCs w:val="20"/>
              </w:rPr>
              <w:t xml:space="preserve">52</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Georgia" w:cs="Georgia" w:eastAsia="Georgia" w:hAnsi="Georgia"/>
                <w:b w:val="false"/>
                <w:bCs w:val="false"/>
                <w:color w:val="5A5A5A"/>
                <w:sz w:val="20"/>
                <w:szCs w:val="20"/>
              </w:rPr>
              <w:t xml:space="preserve">78</w:t>
            </w:r>
          </w:p>
        </w:tc>
      </w:tr>
      <w:tr>
        <w:tc>
          <w:tcPr>
            <w:tcW w:type="dxa" w:w="11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rFonts w:ascii="Georgia" w:cs="Georgia" w:eastAsia="Georgia" w:hAnsi="Georgia"/>
                <w:b w:val="false"/>
                <w:bCs w:val="false"/>
                <w:color w:val="5A5A5A"/>
                <w:sz w:val="20"/>
                <w:szCs w:val="20"/>
              </w:rPr>
              <w:t xml:space="preserve">T1098</w:t>
            </w:r>
          </w:p>
        </w:tc>
        <w:tc>
          <w:tcPr>
            <w:tcW w:type="dxa" w:w="32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center"/>
            </w:pPr>
            <w:r>
              <w:rPr>
                <w:rFonts w:ascii="Georgia" w:cs="Georgia" w:eastAsia="Georgia" w:hAnsi="Georgia"/>
                <w:b w:val="false"/>
                <w:bCs w:val="false"/>
                <w:color w:val="5A5A5A"/>
                <w:sz w:val="20"/>
                <w:szCs w:val="20"/>
              </w:rPr>
              <w:t xml:space="preserve">Account Manipulation</w:t>
            </w:r>
          </w:p>
        </w:tc>
        <w:tc>
          <w:tcPr>
            <w:tcW w:type="dxa" w:w="12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center"/>
            </w:pPr>
            <w:r>
              <w:rPr>
                <w:rFonts w:ascii="Georgia" w:cs="Georgia" w:eastAsia="Georgia" w:hAnsi="Georgia"/>
                <w:b w:val="false"/>
                <w:bCs w:val="false"/>
                <w:color w:val="5A5A5A"/>
                <w:sz w:val="20"/>
                <w:szCs w:val="20"/>
              </w:rPr>
              <w:t xml:space="preserve">6</w:t>
            </w:r>
          </w:p>
        </w:tc>
        <w:tc>
          <w:tcPr>
            <w:tcW w:type="dxa" w:w="12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center"/>
            </w:pPr>
            <w:r>
              <w:rPr>
                <w:rFonts w:ascii="Georgia" w:cs="Georgia" w:eastAsia="Georgia" w:hAnsi="Georgia"/>
                <w:b w:val="false"/>
                <w:bCs w:val="false"/>
                <w:color w:val="5A5A5A"/>
                <w:sz w:val="20"/>
                <w:szCs w:val="20"/>
              </w:rPr>
              <w:t xml:space="preserve">7</w:t>
            </w:r>
          </w:p>
        </w:tc>
        <w:tc>
          <w:tcPr>
            <w:tcW w:type="dxa" w:w="12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center"/>
            </w:pPr>
            <w:r>
              <w:rPr>
                <w:rFonts w:ascii="Georgia" w:cs="Georgia" w:eastAsia="Georgia" w:hAnsi="Georgia"/>
                <w:b w:val="false"/>
                <w:bCs w:val="false"/>
                <w:color w:val="5A5A5A"/>
                <w:sz w:val="20"/>
                <w:szCs w:val="20"/>
              </w:rPr>
              <w:t xml:space="preserve">23</w:t>
            </w:r>
          </w:p>
        </w:tc>
        <w:tc>
          <w:tcPr>
            <w:tcW w:type="dxa" w:w="14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center"/>
            </w:pPr>
            <w:r>
              <w:rPr>
                <w:rFonts w:ascii="Georgia" w:cs="Georgia" w:eastAsia="Georgia" w:hAnsi="Georgia"/>
                <w:b w:val="false"/>
                <w:bCs w:val="false"/>
                <w:color w:val="5A5A5A"/>
                <w:sz w:val="20"/>
                <w:szCs w:val="20"/>
              </w:rPr>
              <w:t xml:space="preserve">38</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Georgia" w:cs="Georgia" w:eastAsia="Georgia" w:hAnsi="Georgia"/>
                <w:b w:val="false"/>
                <w:bCs w:val="false"/>
                <w:color w:val="5A5A5A"/>
                <w:sz w:val="20"/>
                <w:szCs w:val="20"/>
              </w:rPr>
              <w:t xml:space="preserve">T1110</w:t>
            </w:r>
          </w:p>
        </w:tc>
        <w:tc>
          <w:tcPr>
            <w:tcW w:type="dxa" w:w="3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Georgia" w:cs="Georgia" w:eastAsia="Georgia" w:hAnsi="Georgia"/>
                <w:b w:val="false"/>
                <w:bCs w:val="false"/>
                <w:color w:val="5A5A5A"/>
                <w:sz w:val="20"/>
                <w:szCs w:val="20"/>
              </w:rPr>
              <w:t xml:space="preserve">Brute Force (incl. Password Spraying)</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Georgia" w:cs="Georgia" w:eastAsia="Georgia" w:hAnsi="Georgia"/>
                <w:b w:val="false"/>
                <w:bCs w:val="false"/>
                <w:color w:val="5A5A5A"/>
                <w:sz w:val="20"/>
                <w:szCs w:val="20"/>
              </w:rPr>
              <w:t xml:space="preserve">15</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Georgia" w:cs="Georgia" w:eastAsia="Georgia" w:hAnsi="Georgia"/>
                <w:b w:val="false"/>
                <w:bCs w:val="false"/>
                <w:color w:val="5A5A5A"/>
                <w:sz w:val="20"/>
                <w:szCs w:val="20"/>
              </w:rPr>
              <w:t xml:space="preserve">11</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Georgia" w:cs="Georgia" w:eastAsia="Georgia" w:hAnsi="Georgia"/>
                <w:b w:val="false"/>
                <w:bCs w:val="false"/>
                <w:color w:val="5A5A5A"/>
                <w:sz w:val="20"/>
                <w:szCs w:val="20"/>
              </w:rPr>
              <w:t xml:space="preserve">22</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Georgia" w:cs="Georgia" w:eastAsia="Georgia" w:hAnsi="Georgia"/>
                <w:b w:val="false"/>
                <w:bCs w:val="false"/>
                <w:color w:val="5A5A5A"/>
                <w:sz w:val="20"/>
                <w:szCs w:val="20"/>
              </w:rPr>
              <w:t xml:space="preserve">29</w:t>
            </w:r>
          </w:p>
        </w:tc>
      </w:tr>
      <w:tr>
        <w:tc>
          <w:tcPr>
            <w:tcW w:type="dxa" w:w="11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rFonts w:ascii="Georgia" w:cs="Georgia" w:eastAsia="Georgia" w:hAnsi="Georgia"/>
                <w:b w:val="false"/>
                <w:bCs w:val="false"/>
                <w:color w:val="5A5A5A"/>
                <w:sz w:val="20"/>
                <w:szCs w:val="20"/>
              </w:rPr>
              <w:t xml:space="preserve">T1136</w:t>
            </w:r>
          </w:p>
        </w:tc>
        <w:tc>
          <w:tcPr>
            <w:tcW w:type="dxa" w:w="32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center"/>
            </w:pPr>
            <w:r>
              <w:rPr>
                <w:rFonts w:ascii="Georgia" w:cs="Georgia" w:eastAsia="Georgia" w:hAnsi="Georgia"/>
                <w:b w:val="false"/>
                <w:bCs w:val="false"/>
                <w:color w:val="5A5A5A"/>
                <w:sz w:val="20"/>
                <w:szCs w:val="20"/>
              </w:rPr>
              <w:t xml:space="preserve">Create Account</w:t>
            </w:r>
          </w:p>
        </w:tc>
        <w:tc>
          <w:tcPr>
            <w:tcW w:type="dxa" w:w="12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center"/>
            </w:pPr>
            <w:r>
              <w:rPr>
                <w:rFonts w:ascii="Georgia" w:cs="Georgia" w:eastAsia="Georgia" w:hAnsi="Georgia"/>
                <w:b w:val="false"/>
                <w:bCs w:val="false"/>
                <w:color w:val="5A5A5A"/>
                <w:sz w:val="20"/>
                <w:szCs w:val="20"/>
              </w:rPr>
              <w:t xml:space="preserve">11</w:t>
            </w:r>
          </w:p>
        </w:tc>
        <w:tc>
          <w:tcPr>
            <w:tcW w:type="dxa" w:w="12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center"/>
            </w:pPr>
            <w:r>
              <w:rPr>
                <w:rFonts w:ascii="Georgia" w:cs="Georgia" w:eastAsia="Georgia" w:hAnsi="Georgia"/>
                <w:b w:val="false"/>
                <w:bCs w:val="false"/>
                <w:color w:val="5A5A5A"/>
                <w:sz w:val="20"/>
                <w:szCs w:val="20"/>
              </w:rPr>
              <w:t xml:space="preserve">2</w:t>
            </w:r>
          </w:p>
        </w:tc>
        <w:tc>
          <w:tcPr>
            <w:tcW w:type="dxa" w:w="12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center"/>
            </w:pPr>
            <w:r>
              <w:rPr>
                <w:rFonts w:ascii="Georgia" w:cs="Georgia" w:eastAsia="Georgia" w:hAnsi="Georgia"/>
                <w:b w:val="false"/>
                <w:bCs w:val="false"/>
                <w:color w:val="5A5A5A"/>
                <w:sz w:val="20"/>
                <w:szCs w:val="20"/>
              </w:rPr>
              <w:t xml:space="preserve">15</w:t>
            </w:r>
          </w:p>
        </w:tc>
        <w:tc>
          <w:tcPr>
            <w:tcW w:type="dxa" w:w="14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center"/>
            </w:pPr>
            <w:r>
              <w:rPr>
                <w:rFonts w:ascii="Georgia" w:cs="Georgia" w:eastAsia="Georgia" w:hAnsi="Georgia"/>
                <w:b w:val="false"/>
                <w:bCs w:val="false"/>
                <w:color w:val="5A5A5A"/>
                <w:sz w:val="20"/>
                <w:szCs w:val="20"/>
              </w:rPr>
              <w:t xml:space="preserve">7</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Georgia" w:cs="Georgia" w:eastAsia="Georgia" w:hAnsi="Georgia"/>
                <w:b w:val="false"/>
                <w:bCs w:val="false"/>
                <w:color w:val="5A5A5A"/>
                <w:sz w:val="20"/>
                <w:szCs w:val="20"/>
              </w:rPr>
              <w:t xml:space="preserve">T1530</w:t>
            </w:r>
          </w:p>
        </w:tc>
        <w:tc>
          <w:tcPr>
            <w:tcW w:type="dxa" w:w="3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Georgia" w:cs="Georgia" w:eastAsia="Georgia" w:hAnsi="Georgia"/>
                <w:b w:val="false"/>
                <w:bCs w:val="false"/>
                <w:color w:val="5A5A5A"/>
                <w:sz w:val="20"/>
                <w:szCs w:val="20"/>
              </w:rPr>
              <w:t xml:space="preserve">Data from Cloud Storage</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Georgia" w:cs="Georgia" w:eastAsia="Georgia" w:hAnsi="Georgia"/>
                <w:b w:val="false"/>
                <w:bCs w:val="false"/>
                <w:color w:val="5A5A5A"/>
                <w:sz w:val="20"/>
                <w:szCs w:val="20"/>
              </w:rPr>
              <w:t xml:space="preserve">2</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Georgia" w:cs="Georgia" w:eastAsia="Georgia" w:hAnsi="Georgia"/>
                <w:b w:val="false"/>
                <w:bCs w:val="false"/>
                <w:color w:val="5A5A5A"/>
                <w:sz w:val="20"/>
                <w:szCs w:val="20"/>
              </w:rPr>
              <w:t xml:space="preserve">0</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Georgia" w:cs="Georgia" w:eastAsia="Georgia" w:hAnsi="Georgia"/>
                <w:b w:val="false"/>
                <w:bCs w:val="false"/>
                <w:color w:val="5A5A5A"/>
                <w:sz w:val="20"/>
                <w:szCs w:val="20"/>
              </w:rPr>
              <w:t xml:space="preserve">0</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Georgia" w:cs="Georgia" w:eastAsia="Georgia" w:hAnsi="Georgia"/>
                <w:b w:val="false"/>
                <w:bCs w:val="false"/>
                <w:color w:val="5A5A5A"/>
                <w:sz w:val="20"/>
                <w:szCs w:val="20"/>
              </w:rPr>
              <w:t xml:space="preserve">1</w:t>
            </w:r>
          </w:p>
        </w:tc>
      </w:tr>
      <w:tr>
        <w:tc>
          <w:tcPr>
            <w:tcW w:type="dxa" w:w="11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rFonts w:ascii="Georgia" w:cs="Georgia" w:eastAsia="Georgia" w:hAnsi="Georgia"/>
                <w:b w:val="false"/>
                <w:bCs w:val="false"/>
                <w:color w:val="5A5A5A"/>
                <w:sz w:val="20"/>
                <w:szCs w:val="20"/>
              </w:rPr>
              <w:t xml:space="preserve">T1556</w:t>
            </w:r>
          </w:p>
        </w:tc>
        <w:tc>
          <w:tcPr>
            <w:tcW w:type="dxa" w:w="32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center"/>
            </w:pPr>
            <w:r>
              <w:rPr>
                <w:rFonts w:ascii="Georgia" w:cs="Georgia" w:eastAsia="Georgia" w:hAnsi="Georgia"/>
                <w:b w:val="false"/>
                <w:bCs w:val="false"/>
                <w:color w:val="5A5A5A"/>
                <w:sz w:val="20"/>
                <w:szCs w:val="20"/>
              </w:rPr>
              <w:t xml:space="preserve">Modify Authentication Process</w:t>
            </w:r>
          </w:p>
        </w:tc>
        <w:tc>
          <w:tcPr>
            <w:tcW w:type="dxa" w:w="12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center"/>
            </w:pPr>
            <w:r>
              <w:rPr>
                <w:rFonts w:ascii="Georgia" w:cs="Georgia" w:eastAsia="Georgia" w:hAnsi="Georgia"/>
                <w:b w:val="false"/>
                <w:bCs w:val="false"/>
                <w:color w:val="5A5A5A"/>
                <w:sz w:val="20"/>
                <w:szCs w:val="20"/>
              </w:rPr>
              <w:t xml:space="preserve">3</w:t>
            </w:r>
          </w:p>
        </w:tc>
        <w:tc>
          <w:tcPr>
            <w:tcW w:type="dxa" w:w="12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center"/>
            </w:pPr>
            <w:r>
              <w:rPr>
                <w:rFonts w:ascii="Georgia" w:cs="Georgia" w:eastAsia="Georgia" w:hAnsi="Georgia"/>
                <w:b w:val="false"/>
                <w:bCs w:val="false"/>
                <w:color w:val="5A5A5A"/>
                <w:sz w:val="20"/>
                <w:szCs w:val="20"/>
              </w:rPr>
              <w:t xml:space="preserve">5</w:t>
            </w:r>
          </w:p>
        </w:tc>
        <w:tc>
          <w:tcPr>
            <w:tcW w:type="dxa" w:w="12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center"/>
            </w:pPr>
            <w:r>
              <w:rPr>
                <w:rFonts w:ascii="Georgia" w:cs="Georgia" w:eastAsia="Georgia" w:hAnsi="Georgia"/>
                <w:b w:val="false"/>
                <w:bCs w:val="false"/>
                <w:color w:val="5A5A5A"/>
                <w:sz w:val="20"/>
                <w:szCs w:val="20"/>
              </w:rPr>
              <w:t xml:space="preserve">4</w:t>
            </w:r>
          </w:p>
        </w:tc>
        <w:tc>
          <w:tcPr>
            <w:tcW w:type="dxa" w:w="14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center"/>
            </w:pPr>
            <w:r>
              <w:rPr>
                <w:rFonts w:ascii="Georgia" w:cs="Georgia" w:eastAsia="Georgia" w:hAnsi="Georgia"/>
                <w:b w:val="false"/>
                <w:bCs w:val="false"/>
                <w:color w:val="5A5A5A"/>
                <w:sz w:val="20"/>
                <w:szCs w:val="20"/>
              </w:rPr>
              <w:t xml:space="preserve">3</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Georgia" w:cs="Georgia" w:eastAsia="Georgia" w:hAnsi="Georgia"/>
                <w:b w:val="false"/>
                <w:bCs w:val="false"/>
                <w:color w:val="5A5A5A"/>
                <w:sz w:val="20"/>
                <w:szCs w:val="20"/>
              </w:rPr>
              <w:t xml:space="preserve">T1547</w:t>
            </w:r>
          </w:p>
        </w:tc>
        <w:tc>
          <w:tcPr>
            <w:tcW w:type="dxa" w:w="3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Georgia" w:cs="Georgia" w:eastAsia="Georgia" w:hAnsi="Georgia"/>
                <w:b w:val="false"/>
                <w:bCs w:val="false"/>
                <w:color w:val="5A5A5A"/>
                <w:sz w:val="20"/>
                <w:szCs w:val="20"/>
              </w:rPr>
              <w:t xml:space="preserve">Boot or Logon Autostart Execution</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Georgia" w:cs="Georgia" w:eastAsia="Georgia" w:hAnsi="Georgia"/>
                <w:b w:val="false"/>
                <w:bCs w:val="false"/>
                <w:color w:val="5A5A5A"/>
                <w:sz w:val="20"/>
                <w:szCs w:val="20"/>
              </w:rPr>
              <w:t xml:space="preserve">15</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Georgia" w:cs="Georgia" w:eastAsia="Georgia" w:hAnsi="Georgia"/>
                <w:b w:val="false"/>
                <w:bCs w:val="false"/>
                <w:color w:val="5A5A5A"/>
                <w:sz w:val="20"/>
                <w:szCs w:val="20"/>
              </w:rPr>
              <w:t xml:space="preserve">23</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Georgia" w:cs="Georgia" w:eastAsia="Georgia" w:hAnsi="Georgia"/>
                <w:b w:val="false"/>
                <w:bCs w:val="false"/>
                <w:color w:val="5A5A5A"/>
                <w:sz w:val="20"/>
                <w:szCs w:val="20"/>
              </w:rPr>
              <w:t xml:space="preserve">50</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Georgia" w:cs="Georgia" w:eastAsia="Georgia" w:hAnsi="Georgia"/>
                <w:b w:val="false"/>
                <w:bCs w:val="false"/>
                <w:color w:val="5A5A5A"/>
                <w:sz w:val="20"/>
                <w:szCs w:val="20"/>
              </w:rPr>
              <w:t xml:space="preserve">2</w:t>
            </w:r>
          </w:p>
        </w:tc>
      </w:tr>
      <w:tr>
        <w:tc>
          <w:tcPr>
            <w:tcW w:type="dxa" w:w="11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rFonts w:ascii="Georgia" w:cs="Georgia" w:eastAsia="Georgia" w:hAnsi="Georgia"/>
                <w:b w:val="false"/>
                <w:bCs w:val="false"/>
                <w:color w:val="5A5A5A"/>
                <w:sz w:val="20"/>
                <w:szCs w:val="20"/>
              </w:rPr>
              <w:t xml:space="preserve">T1543</w:t>
            </w:r>
          </w:p>
        </w:tc>
        <w:tc>
          <w:tcPr>
            <w:tcW w:type="dxa" w:w="32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center"/>
            </w:pPr>
            <w:r>
              <w:rPr>
                <w:rFonts w:ascii="Georgia" w:cs="Georgia" w:eastAsia="Georgia" w:hAnsi="Georgia"/>
                <w:b w:val="false"/>
                <w:bCs w:val="false"/>
                <w:color w:val="5A5A5A"/>
                <w:sz w:val="20"/>
                <w:szCs w:val="20"/>
              </w:rPr>
              <w:t xml:space="preserve">Create or Modify System Process</w:t>
            </w:r>
          </w:p>
        </w:tc>
        <w:tc>
          <w:tcPr>
            <w:tcW w:type="dxa" w:w="12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center"/>
            </w:pPr>
            <w:r>
              <w:rPr>
                <w:rFonts w:ascii="Georgia" w:cs="Georgia" w:eastAsia="Georgia" w:hAnsi="Georgia"/>
                <w:b w:val="false"/>
                <w:bCs w:val="false"/>
                <w:color w:val="5A5A5A"/>
                <w:sz w:val="20"/>
                <w:szCs w:val="20"/>
              </w:rPr>
              <w:t xml:space="preserve">16</w:t>
            </w:r>
          </w:p>
        </w:tc>
        <w:tc>
          <w:tcPr>
            <w:tcW w:type="dxa" w:w="12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center"/>
            </w:pPr>
            <w:r>
              <w:rPr>
                <w:rFonts w:ascii="Georgia" w:cs="Georgia" w:eastAsia="Georgia" w:hAnsi="Georgia"/>
                <w:b w:val="false"/>
                <w:bCs w:val="false"/>
                <w:color w:val="5A5A5A"/>
                <w:sz w:val="20"/>
                <w:szCs w:val="20"/>
              </w:rPr>
              <w:t xml:space="preserve">26</w:t>
            </w:r>
          </w:p>
        </w:tc>
        <w:tc>
          <w:tcPr>
            <w:tcW w:type="dxa" w:w="12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center"/>
            </w:pPr>
            <w:r>
              <w:rPr>
                <w:rFonts w:ascii="Georgia" w:cs="Georgia" w:eastAsia="Georgia" w:hAnsi="Georgia"/>
                <w:b w:val="false"/>
                <w:bCs w:val="false"/>
                <w:color w:val="5A5A5A"/>
                <w:sz w:val="20"/>
                <w:szCs w:val="20"/>
              </w:rPr>
              <w:t xml:space="preserve">46</w:t>
            </w:r>
          </w:p>
        </w:tc>
        <w:tc>
          <w:tcPr>
            <w:tcW w:type="dxa" w:w="14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center"/>
            </w:pPr>
            <w:r>
              <w:rPr>
                <w:rFonts w:ascii="Georgia" w:cs="Georgia" w:eastAsia="Georgia" w:hAnsi="Georgia"/>
                <w:b w:val="false"/>
                <w:bCs w:val="false"/>
                <w:color w:val="5A5A5A"/>
                <w:sz w:val="20"/>
                <w:szCs w:val="20"/>
              </w:rPr>
              <w:t xml:space="preserve">1</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Georgia" w:cs="Georgia" w:eastAsia="Georgia" w:hAnsi="Georgia"/>
                <w:b w:val="false"/>
                <w:bCs w:val="false"/>
                <w:color w:val="5A5A5A"/>
                <w:sz w:val="20"/>
                <w:szCs w:val="20"/>
              </w:rPr>
              <w:t xml:space="preserve">T1546</w:t>
            </w:r>
          </w:p>
        </w:tc>
        <w:tc>
          <w:tcPr>
            <w:tcW w:type="dxa" w:w="3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Georgia" w:cs="Georgia" w:eastAsia="Georgia" w:hAnsi="Georgia"/>
                <w:b w:val="false"/>
                <w:bCs w:val="false"/>
                <w:color w:val="5A5A5A"/>
                <w:sz w:val="20"/>
                <w:szCs w:val="20"/>
              </w:rPr>
              <w:t xml:space="preserve">Event Triggered Execution</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Georgia" w:cs="Georgia" w:eastAsia="Georgia" w:hAnsi="Georgia"/>
                <w:b w:val="false"/>
                <w:bCs w:val="false"/>
                <w:color w:val="5A5A5A"/>
                <w:sz w:val="20"/>
                <w:szCs w:val="20"/>
              </w:rPr>
              <w:t xml:space="preserve">14</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Georgia" w:cs="Georgia" w:eastAsia="Georgia" w:hAnsi="Georgia"/>
                <w:b w:val="false"/>
                <w:bCs w:val="false"/>
                <w:color w:val="5A5A5A"/>
                <w:sz w:val="20"/>
                <w:szCs w:val="20"/>
              </w:rPr>
              <w:t xml:space="preserve">14</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Georgia" w:cs="Georgia" w:eastAsia="Georgia" w:hAnsi="Georgia"/>
                <w:b w:val="false"/>
                <w:bCs w:val="false"/>
                <w:color w:val="5A5A5A"/>
                <w:sz w:val="20"/>
                <w:szCs w:val="20"/>
              </w:rPr>
              <w:t xml:space="preserve">54</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Georgia" w:cs="Georgia" w:eastAsia="Georgia" w:hAnsi="Georgia"/>
                <w:b w:val="false"/>
                <w:bCs w:val="false"/>
                <w:color w:val="5A5A5A"/>
                <w:sz w:val="20"/>
                <w:szCs w:val="20"/>
              </w:rPr>
              <w:t xml:space="preserve">8</w:t>
            </w:r>
          </w:p>
        </w:tc>
      </w:tr>
      <w:tr>
        <w:tc>
          <w:tcPr>
            <w:tcW w:type="dxa" w:w="11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rFonts w:ascii="Georgia" w:cs="Georgia" w:eastAsia="Georgia" w:hAnsi="Georgia"/>
                <w:b w:val="false"/>
                <w:bCs w:val="false"/>
                <w:color w:val="5A5A5A"/>
                <w:sz w:val="20"/>
                <w:szCs w:val="20"/>
              </w:rPr>
              <w:t xml:space="preserve">T1574</w:t>
            </w:r>
          </w:p>
        </w:tc>
        <w:tc>
          <w:tcPr>
            <w:tcW w:type="dxa" w:w="32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center"/>
            </w:pPr>
            <w:r>
              <w:rPr>
                <w:rFonts w:ascii="Georgia" w:cs="Georgia" w:eastAsia="Georgia" w:hAnsi="Georgia"/>
                <w:b w:val="false"/>
                <w:bCs w:val="false"/>
                <w:color w:val="5A5A5A"/>
                <w:sz w:val="20"/>
                <w:szCs w:val="20"/>
              </w:rPr>
              <w:t xml:space="preserve">Hijack Execution Flow</w:t>
            </w:r>
          </w:p>
        </w:tc>
        <w:tc>
          <w:tcPr>
            <w:tcW w:type="dxa" w:w="12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center"/>
            </w:pPr>
            <w:r>
              <w:rPr>
                <w:rFonts w:ascii="Georgia" w:cs="Georgia" w:eastAsia="Georgia" w:hAnsi="Georgia"/>
                <w:b w:val="false"/>
                <w:bCs w:val="false"/>
                <w:color w:val="5A5A5A"/>
                <w:sz w:val="20"/>
                <w:szCs w:val="20"/>
              </w:rPr>
              <w:t xml:space="preserve">9</w:t>
            </w:r>
          </w:p>
        </w:tc>
        <w:tc>
          <w:tcPr>
            <w:tcW w:type="dxa" w:w="12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center"/>
            </w:pPr>
            <w:r>
              <w:rPr>
                <w:rFonts w:ascii="Georgia" w:cs="Georgia" w:eastAsia="Georgia" w:hAnsi="Georgia"/>
                <w:b w:val="false"/>
                <w:bCs w:val="false"/>
                <w:color w:val="5A5A5A"/>
                <w:sz w:val="20"/>
                <w:szCs w:val="20"/>
              </w:rPr>
              <w:t xml:space="preserve">9</w:t>
            </w:r>
          </w:p>
        </w:tc>
        <w:tc>
          <w:tcPr>
            <w:tcW w:type="dxa" w:w="12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center"/>
            </w:pPr>
            <w:r>
              <w:rPr>
                <w:rFonts w:ascii="Georgia" w:cs="Georgia" w:eastAsia="Georgia" w:hAnsi="Georgia"/>
                <w:b w:val="false"/>
                <w:bCs w:val="false"/>
                <w:color w:val="5A5A5A"/>
                <w:sz w:val="20"/>
                <w:szCs w:val="20"/>
              </w:rPr>
              <w:t xml:space="preserve">64</w:t>
            </w:r>
          </w:p>
        </w:tc>
        <w:tc>
          <w:tcPr>
            <w:tcW w:type="dxa" w:w="14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center"/>
            </w:pPr>
            <w:r>
              <w:rPr>
                <w:rFonts w:ascii="Georgia" w:cs="Georgia" w:eastAsia="Georgia" w:hAnsi="Georgia"/>
                <w:b w:val="false"/>
                <w:bCs w:val="false"/>
                <w:color w:val="5A5A5A"/>
                <w:sz w:val="20"/>
                <w:szCs w:val="20"/>
              </w:rPr>
              <w:t xml:space="preserve">1</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Georgia" w:cs="Georgia" w:eastAsia="Georgia" w:hAnsi="Georgia"/>
                <w:b w:val="false"/>
                <w:bCs w:val="false"/>
                <w:color w:val="5A5A5A"/>
                <w:sz w:val="20"/>
                <w:szCs w:val="20"/>
              </w:rPr>
              <w:t xml:space="preserve">T1055</w:t>
            </w:r>
          </w:p>
        </w:tc>
        <w:tc>
          <w:tcPr>
            <w:tcW w:type="dxa" w:w="3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Georgia" w:cs="Georgia" w:eastAsia="Georgia" w:hAnsi="Georgia"/>
                <w:b w:val="false"/>
                <w:bCs w:val="false"/>
                <w:color w:val="5A5A5A"/>
                <w:sz w:val="20"/>
                <w:szCs w:val="20"/>
              </w:rPr>
              <w:t xml:space="preserve">Process Injection</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Georgia" w:cs="Georgia" w:eastAsia="Georgia" w:hAnsi="Georgia"/>
                <w:b w:val="false"/>
                <w:bCs w:val="false"/>
                <w:color w:val="5A5A5A"/>
                <w:sz w:val="20"/>
                <w:szCs w:val="20"/>
              </w:rPr>
              <w:t xml:space="preserve">21</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Georgia" w:cs="Georgia" w:eastAsia="Georgia" w:hAnsi="Georgia"/>
                <w:b w:val="false"/>
                <w:bCs w:val="false"/>
                <w:color w:val="5A5A5A"/>
                <w:sz w:val="20"/>
                <w:szCs w:val="20"/>
              </w:rPr>
              <w:t xml:space="preserve">12</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Georgia" w:cs="Georgia" w:eastAsia="Georgia" w:hAnsi="Georgia"/>
                <w:b w:val="false"/>
                <w:bCs w:val="false"/>
                <w:color w:val="5A5A5A"/>
                <w:sz w:val="20"/>
                <w:szCs w:val="20"/>
              </w:rPr>
              <w:t xml:space="preserve">35</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Georgia" w:cs="Georgia" w:eastAsia="Georgia" w:hAnsi="Georgia"/>
                <w:b w:val="false"/>
                <w:bCs w:val="false"/>
                <w:color w:val="5A5A5A"/>
                <w:sz w:val="20"/>
                <w:szCs w:val="20"/>
              </w:rPr>
              <w:t xml:space="preserve">1</w:t>
            </w:r>
          </w:p>
        </w:tc>
      </w:tr>
      <w:tr>
        <w:tc>
          <w:tcPr>
            <w:tcW w:type="dxa" w:w="11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rFonts w:ascii="Georgia" w:cs="Georgia" w:eastAsia="Georgia" w:hAnsi="Georgia"/>
                <w:b w:val="false"/>
                <w:bCs w:val="false"/>
                <w:color w:val="5A5A5A"/>
                <w:sz w:val="20"/>
                <w:szCs w:val="20"/>
              </w:rPr>
              <w:t xml:space="preserve">T1014</w:t>
            </w:r>
          </w:p>
        </w:tc>
        <w:tc>
          <w:tcPr>
            <w:tcW w:type="dxa" w:w="32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center"/>
            </w:pPr>
            <w:r>
              <w:rPr>
                <w:rFonts w:ascii="Georgia" w:cs="Georgia" w:eastAsia="Georgia" w:hAnsi="Georgia"/>
                <w:b w:val="false"/>
                <w:bCs w:val="false"/>
                <w:color w:val="5A5A5A"/>
                <w:sz w:val="20"/>
                <w:szCs w:val="20"/>
              </w:rPr>
              <w:t xml:space="preserve">Rootkit</w:t>
            </w:r>
          </w:p>
        </w:tc>
        <w:tc>
          <w:tcPr>
            <w:tcW w:type="dxa" w:w="12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center"/>
            </w:pPr>
            <w:r>
              <w:rPr>
                <w:rFonts w:ascii="Georgia" w:cs="Georgia" w:eastAsia="Georgia" w:hAnsi="Georgia"/>
                <w:b w:val="false"/>
                <w:bCs w:val="false"/>
                <w:color w:val="5A5A5A"/>
                <w:sz w:val="20"/>
                <w:szCs w:val="20"/>
              </w:rPr>
              <w:t xml:space="preserve">3</w:t>
            </w:r>
          </w:p>
        </w:tc>
        <w:tc>
          <w:tcPr>
            <w:tcW w:type="dxa" w:w="12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center"/>
            </w:pPr>
            <w:r>
              <w:rPr>
                <w:rFonts w:ascii="Georgia" w:cs="Georgia" w:eastAsia="Georgia" w:hAnsi="Georgia"/>
                <w:b w:val="false"/>
                <w:bCs w:val="false"/>
                <w:color w:val="5A5A5A"/>
                <w:sz w:val="20"/>
                <w:szCs w:val="20"/>
              </w:rPr>
              <w:t xml:space="preserve">0</w:t>
            </w:r>
          </w:p>
        </w:tc>
        <w:tc>
          <w:tcPr>
            <w:tcW w:type="dxa" w:w="12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center"/>
            </w:pPr>
            <w:r>
              <w:rPr>
                <w:rFonts w:ascii="Georgia" w:cs="Georgia" w:eastAsia="Georgia" w:hAnsi="Georgia"/>
                <w:b w:val="false"/>
                <w:bCs w:val="false"/>
                <w:color w:val="5A5A5A"/>
                <w:sz w:val="20"/>
                <w:szCs w:val="20"/>
              </w:rPr>
              <w:t xml:space="preserve">1</w:t>
            </w:r>
          </w:p>
        </w:tc>
        <w:tc>
          <w:tcPr>
            <w:tcW w:type="dxa" w:w="14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center"/>
            </w:pPr>
            <w:r>
              <w:rPr>
                <w:rFonts w:ascii="Georgia" w:cs="Georgia" w:eastAsia="Georgia" w:hAnsi="Georgia"/>
                <w:b w:val="false"/>
                <w:bCs w:val="false"/>
                <w:color w:val="5A5A5A"/>
                <w:sz w:val="20"/>
                <w:szCs w:val="20"/>
              </w:rPr>
              <w:t xml:space="preserve">0</w:t>
            </w:r>
          </w:p>
        </w:tc>
      </w:tr>
    </w:tbl>
    <w:p>
      <w:pPr>
        <w:spacing w:after="160" w:line="320"/>
        <w:jc w:val="both"/>
      </w:pPr>
      <w:r>
        <w:rPr>
          <w:rFonts w:ascii="Georgia" w:cs="Georgia" w:eastAsia="Georgia" w:hAnsi="Georgia"/>
          <w:color w:val="5A5A5A"/>
          <w:sz w:val="22"/>
          <w:szCs w:val="22"/>
        </w:rPr>
        <w:t xml:space="preserve"> </w:t>
      </w:r>
    </w:p>
    <w:p>
      <w:pPr>
        <w:spacing w:after="160" w:line="320"/>
        <w:jc w:val="both"/>
      </w:pPr>
      <w:r>
        <w:rPr>
          <w:rFonts w:ascii="Georgia" w:cs="Georgia" w:eastAsia="Georgia" w:hAnsi="Georgia"/>
          <w:color w:val="5A5A5A"/>
          <w:sz w:val="22"/>
          <w:szCs w:val="22"/>
        </w:rPr>
        <w:t xml:space="preserve">The pre-registered hypothesis is strongly confirmed. For the three most prominent cloud/identity techniques, Sentinel has substantially more rules than either Splunk or Elastic: 78 rules for T1078 Valid Accounts versus Splunk's 39 and Elastic's 13 (a 2× to 6× margin); 38 rules for T1098 Account Manipulation versus Splunk's 6 and Elastic's 7 (a 5× to 6× margin); and 29 rules for T1110 Brute Force / Password Spraying versus Splunk's 15 and Elastic's 11 (a 2× to 3× margin). The T1078 finding is particularly striking because Sentinel has the smallest total ruleset (349 rules) yet has more rules dedicated to Valid Accounts alone than either of the comparators.</w:t>
      </w:r>
    </w:p>
    <w:p>
      <w:pPr>
        <w:spacing w:after="160" w:line="320"/>
        <w:jc w:val="both"/>
      </w:pPr>
      <w:r>
        <w:rPr>
          <w:rFonts w:ascii="Georgia" w:cs="Georgia" w:eastAsia="Georgia" w:hAnsi="Georgia"/>
          <w:color w:val="5A5A5A"/>
          <w:sz w:val="22"/>
          <w:szCs w:val="22"/>
        </w:rPr>
        <w:t xml:space="preserve">The host-only techniques show the inverse pattern at even greater magnitude. T1547 has 2 Sentinel rules versus 15 Splunk and 23 Elastic. T1543 has 1 Sentinel rule versus 16 Splunk and 26 Elastic. T1574 has 1 Sentinel rule versus 9 in each of Splunk and Elastic. T1055 has 1 Sentinel rule versus 21 in Splunk and 12 in Elastic. The ratio is approximately 5× to 26× fewer Sentinel rules for these host-focused techniques compared to the on-host EDR products.</w:t>
      </w:r>
    </w:p>
    <w:p>
      <w:pPr>
        <w:spacing w:after="160" w:line="320"/>
        <w:jc w:val="both"/>
      </w:pPr>
      <w:r>
        <w:rPr>
          <w:rFonts w:ascii="Georgia" w:cs="Georgia" w:eastAsia="Georgia" w:hAnsi="Georgia"/>
          <w:color w:val="5A5A5A"/>
          <w:sz w:val="22"/>
          <w:szCs w:val="22"/>
        </w:rPr>
        <w:t xml:space="preserve">The Sigma column provides a useful control: as a crowdsourced ruleset that aggregates contributions from analysts across many architectures, Sigma's counts are uniformly high for both cloud and host techniques, reflecting its broader scope rather than a particular architectural bias.</w:t>
      </w:r>
    </w:p>
    <w:p>
      <w:pPr>
        <w:spacing w:after="160" w:line="320"/>
        <w:jc w:val="both"/>
      </w:pPr>
      <w:r>
        <w:rPr>
          <w:rFonts w:ascii="Georgia" w:cs="Georgia" w:eastAsia="Georgia" w:hAnsi="Georgia"/>
          <w:color w:val="5A5A5A"/>
          <w:sz w:val="22"/>
          <w:szCs w:val="22"/>
        </w:rPr>
        <w:t xml:space="preserve">Twelve techniques are covered by Sentinel but not by either Splunk or Elastic: T1008, T1012, T1030, T1041, T1052, T1072, T1213, T1496, T1528, T1563, T1571, and T1578. Three of these are explicitly cloud-architectural: T1213 (Data from Information Repositories, including SharePoint and Confluence), T1528 (Steal Application Access Token, the OAuth/Azure AD attack class), and T1578 (Modify Cloud Compute Infrastructure, Azure/AWS attacks). These cannot be detected from on-host telemetry alone; Sentinel covers them because it ingests cloud control-plane logs that are not available to host-based EDR products. Conversely, 57 techniques are covered by Splunk or Elastic but not by Sentinel, and the majority are host-focused discovery and persistence techniques (T1016 System Network Configuration Discovery, T1033 System Owner / User Discovery, T1057 Process Discovery, T1082 System Information Discovery, T1218 Signed Binary Proxy Execution, T1220 XSL Script Processing, and others) that require process and filesystem visibility on the endpoint.</w:t>
      </w:r>
    </w:p>
    <w:p>
      <w:pPr>
        <w:pStyle w:val="Heading3"/>
        <w:spacing w:after="100" w:before="220"/>
      </w:pPr>
      <w:r>
        <w:rPr>
          <w:rFonts w:ascii="Georgia" w:cs="Georgia" w:eastAsia="Georgia" w:hAnsi="Georgia"/>
          <w:b/>
          <w:bCs/>
          <w:color w:val="140F50"/>
          <w:sz w:val="22"/>
          <w:szCs w:val="22"/>
        </w:rPr>
        <w:t xml:space="preserve">3.3 Finding 3 — Spearman correlations quantify the divergence</w:t>
      </w:r>
    </w:p>
    <w:p>
      <w:pPr>
        <w:spacing w:after="160" w:line="320"/>
        <w:jc w:val="both"/>
      </w:pPr>
      <w:r>
        <w:rPr>
          <w:rFonts w:ascii="Georgia" w:cs="Georgia" w:eastAsia="Georgia" w:hAnsi="Georgia"/>
          <w:color w:val="5A5A5A"/>
          <w:sz w:val="22"/>
          <w:szCs w:val="22"/>
        </w:rPr>
        <w:t xml:space="preserve">Section V.5.3 reproduced the paper's within-Virkud Spearman rank correlations: ρ = 0.6389 (Splunk–Elastic), 0.7010 (Splunk–Sigma), 0.7617 (Elastic–Sigma). Adding Sentinel as a fifth ruleset produces three additional correlation pairs, shown in Table 6.3.</w:t>
      </w:r>
    </w:p>
    <w:p>
      <w:pPr>
        <w:spacing w:after="160" w:line="320"/>
        <w:jc w:val="both"/>
      </w:pPr>
      <w:r>
        <w:rPr>
          <w:rFonts w:ascii="Georgia" w:cs="Georgia" w:eastAsia="Georgia" w:hAnsi="Georgia"/>
          <w:b/>
          <w:bCs/>
          <w:color w:val="140F50"/>
          <w:sz w:val="22"/>
          <w:szCs w:val="22"/>
        </w:rPr>
        <w:t xml:space="preserve">Table 6.3: </w:t>
      </w:r>
      <w:r>
        <w:rPr>
          <w:rFonts w:ascii="Georgia" w:cs="Georgia" w:eastAsia="Georgia" w:hAnsi="Georgia"/>
          <w:i/>
          <w:iCs/>
          <w:color w:val="5A5A5A"/>
          <w:sz w:val="22"/>
          <w:szCs w:val="22"/>
        </w:rPr>
        <w:t xml:space="preserve">Spearman rank correlations including the Sentinel pairs, compared with within-Virkud pairs.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2200"/>
        <w:gridCol w:w="2360"/>
      </w:tblGrid>
      <w:tr>
        <w:trPr>
          <w:tblHeader/>
        </w:trPr>
        <w:tc>
          <w:tcPr>
            <w:tcW w:type="dxa" w:w="3000"/>
            <w:tcBorders>
              <w:top w:val="single" w:color="BFBFBF" w:sz="4"/>
              <w:left w:val="single" w:color="BFBFBF" w:sz="4"/>
              <w:bottom w:val="single" w:color="BFBFBF" w:sz="4"/>
              <w:right w:val="single" w:color="BFBFBF" w:sz="4"/>
            </w:tcBorders>
            <w:shd w:fill="140F50" w:val="clear"/>
            <w:tcMar>
              <w:top w:type="dxa" w:w="80"/>
              <w:left w:type="dxa" w:w="120"/>
              <w:bottom w:type="dxa" w:w="80"/>
              <w:right w:type="dxa" w:w="120"/>
            </w:tcMar>
          </w:tcPr>
          <w:p>
            <w:pPr>
              <w:jc w:val="center"/>
            </w:pPr>
            <w:r>
              <w:rPr>
                <w:rFonts w:ascii="Georgia" w:cs="Georgia" w:eastAsia="Georgia" w:hAnsi="Georgia"/>
                <w:b/>
                <w:bCs/>
                <w:color w:val="FFFFFF"/>
                <w:sz w:val="20"/>
                <w:szCs w:val="20"/>
              </w:rPr>
              <w:t xml:space="preserve">Pair</w:t>
            </w:r>
          </w:p>
        </w:tc>
        <w:tc>
          <w:tcPr>
            <w:tcW w:type="dxa" w:w="1800"/>
            <w:tcBorders>
              <w:top w:val="single" w:color="BFBFBF" w:sz="4"/>
              <w:left w:val="single" w:color="BFBFBF" w:sz="4"/>
              <w:bottom w:val="single" w:color="BFBFBF" w:sz="4"/>
              <w:right w:val="single" w:color="BFBFBF" w:sz="4"/>
            </w:tcBorders>
            <w:shd w:fill="140F50" w:val="clear"/>
            <w:tcMar>
              <w:top w:type="dxa" w:w="80"/>
              <w:left w:type="dxa" w:w="120"/>
              <w:bottom w:type="dxa" w:w="80"/>
              <w:right w:type="dxa" w:w="120"/>
            </w:tcMar>
          </w:tcPr>
          <w:p>
            <w:pPr>
              <w:jc w:val="center"/>
            </w:pPr>
            <w:r>
              <w:rPr>
                <w:rFonts w:ascii="Georgia" w:cs="Georgia" w:eastAsia="Georgia" w:hAnsi="Georgia"/>
                <w:b/>
                <w:bCs/>
                <w:color w:val="FFFFFF"/>
                <w:sz w:val="20"/>
                <w:szCs w:val="20"/>
              </w:rPr>
              <w:t xml:space="preserve">Spearman ρ</w:t>
            </w:r>
          </w:p>
        </w:tc>
        <w:tc>
          <w:tcPr>
            <w:tcW w:type="dxa" w:w="2200"/>
            <w:tcBorders>
              <w:top w:val="single" w:color="BFBFBF" w:sz="4"/>
              <w:left w:val="single" w:color="BFBFBF" w:sz="4"/>
              <w:bottom w:val="single" w:color="BFBFBF" w:sz="4"/>
              <w:right w:val="single" w:color="BFBFBF" w:sz="4"/>
            </w:tcBorders>
            <w:shd w:fill="140F50" w:val="clear"/>
            <w:tcMar>
              <w:top w:type="dxa" w:w="80"/>
              <w:left w:type="dxa" w:w="120"/>
              <w:bottom w:type="dxa" w:w="80"/>
              <w:right w:type="dxa" w:w="120"/>
            </w:tcMar>
          </w:tcPr>
          <w:p>
            <w:pPr>
              <w:jc w:val="center"/>
            </w:pPr>
            <w:r>
              <w:rPr>
                <w:rFonts w:ascii="Georgia" w:cs="Georgia" w:eastAsia="Georgia" w:hAnsi="Georgia"/>
                <w:b/>
                <w:bCs/>
                <w:color w:val="FFFFFF"/>
                <w:sz w:val="20"/>
                <w:szCs w:val="20"/>
              </w:rPr>
              <w:t xml:space="preserve">p-value</w:t>
            </w:r>
          </w:p>
        </w:tc>
        <w:tc>
          <w:tcPr>
            <w:tcW w:type="dxa" w:w="2360"/>
            <w:tcBorders>
              <w:top w:val="single" w:color="BFBFBF" w:sz="4"/>
              <w:left w:val="single" w:color="BFBFBF" w:sz="4"/>
              <w:bottom w:val="single" w:color="BFBFBF" w:sz="4"/>
              <w:right w:val="single" w:color="BFBFBF" w:sz="4"/>
            </w:tcBorders>
            <w:shd w:fill="140F50" w:val="clear"/>
            <w:tcMar>
              <w:top w:type="dxa" w:w="80"/>
              <w:left w:type="dxa" w:w="120"/>
              <w:bottom w:type="dxa" w:w="80"/>
              <w:right w:type="dxa" w:w="120"/>
            </w:tcMar>
          </w:tcPr>
          <w:p>
            <w:pPr>
              <w:jc w:val="center"/>
            </w:pPr>
            <w:r>
              <w:rPr>
                <w:rFonts w:ascii="Georgia" w:cs="Georgia" w:eastAsia="Georgia" w:hAnsi="Georgia"/>
                <w:b/>
                <w:bCs/>
                <w:color w:val="FFFFFF"/>
                <w:sz w:val="20"/>
                <w:szCs w:val="20"/>
              </w:rPr>
              <w:t xml:space="preserve">Comparison to within-Virkud</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Georgia" w:cs="Georgia" w:eastAsia="Georgia" w:hAnsi="Georgia"/>
                <w:b w:val="false"/>
                <w:bCs w:val="false"/>
                <w:color w:val="5A5A5A"/>
                <w:sz w:val="20"/>
                <w:szCs w:val="20"/>
              </w:rPr>
              <w:t xml:space="preserve">Splunk vs Elastic (paper)</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Georgia" w:cs="Georgia" w:eastAsia="Georgia" w:hAnsi="Georgia"/>
                <w:b w:val="false"/>
                <w:bCs w:val="false"/>
                <w:color w:val="5A5A5A"/>
                <w:sz w:val="20"/>
                <w:szCs w:val="20"/>
              </w:rPr>
              <w:t xml:space="preserve">0.6389</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Georgia" w:cs="Georgia" w:eastAsia="Georgia" w:hAnsi="Georgia"/>
                <w:b w:val="false"/>
                <w:bCs w:val="false"/>
                <w:color w:val="5A5A5A"/>
                <w:sz w:val="20"/>
                <w:szCs w:val="20"/>
              </w:rPr>
              <w:t xml:space="preserve">2.69 × 10⁻²³</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Georgia" w:cs="Georgia" w:eastAsia="Georgia" w:hAnsi="Georgia"/>
                <w:b w:val="false"/>
                <w:bCs w:val="false"/>
                <w:color w:val="5A5A5A"/>
                <w:sz w:val="20"/>
                <w:szCs w:val="20"/>
              </w:rPr>
              <w:t xml:space="preserve">— (within-Virkud)</w:t>
            </w:r>
          </w:p>
        </w:tc>
      </w:tr>
      <w:tr>
        <w:tc>
          <w:tcPr>
            <w:tcW w:type="dxa" w:w="30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rFonts w:ascii="Georgia" w:cs="Georgia" w:eastAsia="Georgia" w:hAnsi="Georgia"/>
                <w:b w:val="false"/>
                <w:bCs w:val="false"/>
                <w:color w:val="5A5A5A"/>
                <w:sz w:val="20"/>
                <w:szCs w:val="20"/>
              </w:rPr>
              <w:t xml:space="preserve">Splunk vs Sigma (paper)</w:t>
            </w:r>
          </w:p>
        </w:tc>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center"/>
            </w:pPr>
            <w:r>
              <w:rPr>
                <w:rFonts w:ascii="Georgia" w:cs="Georgia" w:eastAsia="Georgia" w:hAnsi="Georgia"/>
                <w:b w:val="false"/>
                <w:bCs w:val="false"/>
                <w:color w:val="5A5A5A"/>
                <w:sz w:val="20"/>
                <w:szCs w:val="20"/>
              </w:rPr>
              <w:t xml:space="preserve">0.7010</w:t>
            </w:r>
          </w:p>
        </w:tc>
        <w:tc>
          <w:tcPr>
            <w:tcW w:type="dxa" w:w="22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center"/>
            </w:pPr>
            <w:r>
              <w:rPr>
                <w:rFonts w:ascii="Georgia" w:cs="Georgia" w:eastAsia="Georgia" w:hAnsi="Georgia"/>
                <w:b w:val="false"/>
                <w:bCs w:val="false"/>
                <w:color w:val="5A5A5A"/>
                <w:sz w:val="20"/>
                <w:szCs w:val="20"/>
              </w:rPr>
              <w:t xml:space="preserve">1.47 × 10⁻²⁹</w:t>
            </w:r>
          </w:p>
        </w:tc>
        <w:tc>
          <w:tcPr>
            <w:tcW w:type="dxa" w:w="23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center"/>
            </w:pPr>
            <w:r>
              <w:rPr>
                <w:rFonts w:ascii="Georgia" w:cs="Georgia" w:eastAsia="Georgia" w:hAnsi="Georgia"/>
                <w:b w:val="false"/>
                <w:bCs w:val="false"/>
                <w:color w:val="5A5A5A"/>
                <w:sz w:val="20"/>
                <w:szCs w:val="20"/>
              </w:rPr>
              <w:t xml:space="preserve">— (within-Virkud)</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Georgia" w:cs="Georgia" w:eastAsia="Georgia" w:hAnsi="Georgia"/>
                <w:b w:val="false"/>
                <w:bCs w:val="false"/>
                <w:color w:val="5A5A5A"/>
                <w:sz w:val="20"/>
                <w:szCs w:val="20"/>
              </w:rPr>
              <w:t xml:space="preserve">Elastic vs Sigma (paper)</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Georgia" w:cs="Georgia" w:eastAsia="Georgia" w:hAnsi="Georgia"/>
                <w:b w:val="false"/>
                <w:bCs w:val="false"/>
                <w:color w:val="5A5A5A"/>
                <w:sz w:val="20"/>
                <w:szCs w:val="20"/>
              </w:rPr>
              <w:t xml:space="preserve">0.7617</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Georgia" w:cs="Georgia" w:eastAsia="Georgia" w:hAnsi="Georgia"/>
                <w:b w:val="false"/>
                <w:bCs w:val="false"/>
                <w:color w:val="5A5A5A"/>
                <w:sz w:val="20"/>
                <w:szCs w:val="20"/>
              </w:rPr>
              <w:t xml:space="preserve">1.82 × 10⁻³⁷</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Georgia" w:cs="Georgia" w:eastAsia="Georgia" w:hAnsi="Georgia"/>
                <w:b w:val="false"/>
                <w:bCs w:val="false"/>
                <w:color w:val="5A5A5A"/>
                <w:sz w:val="20"/>
                <w:szCs w:val="20"/>
              </w:rPr>
              <w:t xml:space="preserve">— (within-Virkud)</w:t>
            </w:r>
          </w:p>
        </w:tc>
      </w:tr>
      <w:tr>
        <w:tc>
          <w:tcPr>
            <w:tcW w:type="dxa" w:w="30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rFonts w:ascii="Georgia" w:cs="Georgia" w:eastAsia="Georgia" w:hAnsi="Georgia"/>
                <w:b w:val="false"/>
                <w:bCs w:val="false"/>
                <w:color w:val="5A5A5A"/>
                <w:sz w:val="20"/>
                <w:szCs w:val="20"/>
              </w:rPr>
              <w:t xml:space="preserve">Sentinel vs Splunk</w:t>
            </w:r>
          </w:p>
        </w:tc>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center"/>
            </w:pPr>
            <w:r>
              <w:rPr>
                <w:rFonts w:ascii="Georgia" w:cs="Georgia" w:eastAsia="Georgia" w:hAnsi="Georgia"/>
                <w:b w:val="false"/>
                <w:bCs w:val="false"/>
                <w:color w:val="5A5A5A"/>
                <w:sz w:val="20"/>
                <w:szCs w:val="20"/>
              </w:rPr>
              <w:t xml:space="preserve">0.3927</w:t>
            </w:r>
          </w:p>
        </w:tc>
        <w:tc>
          <w:tcPr>
            <w:tcW w:type="dxa" w:w="22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center"/>
            </w:pPr>
            <w:r>
              <w:rPr>
                <w:rFonts w:ascii="Georgia" w:cs="Georgia" w:eastAsia="Georgia" w:hAnsi="Georgia"/>
                <w:b w:val="false"/>
                <w:bCs w:val="false"/>
                <w:color w:val="5A5A5A"/>
                <w:sz w:val="20"/>
                <w:szCs w:val="20"/>
              </w:rPr>
              <w:t xml:space="preserve">1.92 × 10⁻⁸</w:t>
            </w:r>
          </w:p>
        </w:tc>
        <w:tc>
          <w:tcPr>
            <w:tcW w:type="dxa" w:w="23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center"/>
            </w:pPr>
            <w:r>
              <w:rPr>
                <w:rFonts w:ascii="Georgia" w:cs="Georgia" w:eastAsia="Georgia" w:hAnsi="Georgia"/>
                <w:b w:val="false"/>
                <w:bCs w:val="false"/>
                <w:color w:val="5A5A5A"/>
                <w:sz w:val="20"/>
                <w:szCs w:val="20"/>
              </w:rPr>
              <w:t xml:space="preserve">38% lower than Splunk–Elastic</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Georgia" w:cs="Georgia" w:eastAsia="Georgia" w:hAnsi="Georgia"/>
                <w:b w:val="false"/>
                <w:bCs w:val="false"/>
                <w:color w:val="5A5A5A"/>
                <w:sz w:val="20"/>
                <w:szCs w:val="20"/>
              </w:rPr>
              <w:t xml:space="preserve">Sentinel vs Elastic</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Georgia" w:cs="Georgia" w:eastAsia="Georgia" w:hAnsi="Georgia"/>
                <w:b w:val="false"/>
                <w:bCs w:val="false"/>
                <w:color w:val="5A5A5A"/>
                <w:sz w:val="20"/>
                <w:szCs w:val="20"/>
              </w:rPr>
              <w:t xml:space="preserve">0.4461</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Georgia" w:cs="Georgia" w:eastAsia="Georgia" w:hAnsi="Georgia"/>
                <w:b w:val="false"/>
                <w:bCs w:val="false"/>
                <w:color w:val="5A5A5A"/>
                <w:sz w:val="20"/>
                <w:szCs w:val="20"/>
              </w:rPr>
              <w:t xml:space="preserve">9.93 × 10⁻¹¹</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Georgia" w:cs="Georgia" w:eastAsia="Georgia" w:hAnsi="Georgia"/>
                <w:b w:val="false"/>
                <w:bCs w:val="false"/>
                <w:color w:val="5A5A5A"/>
                <w:sz w:val="20"/>
                <w:szCs w:val="20"/>
              </w:rPr>
              <w:t xml:space="preserve">30% lower than Splunk–Elastic</w:t>
            </w:r>
          </w:p>
        </w:tc>
      </w:tr>
      <w:tr>
        <w:tc>
          <w:tcPr>
            <w:tcW w:type="dxa" w:w="30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left"/>
            </w:pPr>
            <w:r>
              <w:rPr>
                <w:rFonts w:ascii="Georgia" w:cs="Georgia" w:eastAsia="Georgia" w:hAnsi="Georgia"/>
                <w:b w:val="false"/>
                <w:bCs w:val="false"/>
                <w:color w:val="5A5A5A"/>
                <w:sz w:val="20"/>
                <w:szCs w:val="20"/>
              </w:rPr>
              <w:t xml:space="preserve">Sentinel vs Sigma</w:t>
            </w:r>
          </w:p>
        </w:tc>
        <w:tc>
          <w:tcPr>
            <w:tcW w:type="dxa" w:w="18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center"/>
            </w:pPr>
            <w:r>
              <w:rPr>
                <w:rFonts w:ascii="Georgia" w:cs="Georgia" w:eastAsia="Georgia" w:hAnsi="Georgia"/>
                <w:b w:val="false"/>
                <w:bCs w:val="false"/>
                <w:color w:val="5A5A5A"/>
                <w:sz w:val="20"/>
                <w:szCs w:val="20"/>
              </w:rPr>
              <w:t xml:space="preserve">0.5003</w:t>
            </w:r>
          </w:p>
        </w:tc>
        <w:tc>
          <w:tcPr>
            <w:tcW w:type="dxa" w:w="220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center"/>
            </w:pPr>
            <w:r>
              <w:rPr>
                <w:rFonts w:ascii="Georgia" w:cs="Georgia" w:eastAsia="Georgia" w:hAnsi="Georgia"/>
                <w:b w:val="false"/>
                <w:bCs w:val="false"/>
                <w:color w:val="5A5A5A"/>
                <w:sz w:val="20"/>
                <w:szCs w:val="20"/>
              </w:rPr>
              <w:t xml:space="preserve">1.72 × 10⁻¹³</w:t>
            </w:r>
          </w:p>
        </w:tc>
        <w:tc>
          <w:tcPr>
            <w:tcW w:type="dxa" w:w="2360"/>
            <w:tcBorders>
              <w:top w:val="single" w:color="BFBFBF" w:sz="4"/>
              <w:left w:val="single" w:color="BFBFBF" w:sz="4"/>
              <w:bottom w:val="single" w:color="BFBFBF" w:sz="4"/>
              <w:right w:val="single" w:color="BFBFBF" w:sz="4"/>
            </w:tcBorders>
            <w:shd w:fill="F5F5F5" w:val="clear"/>
            <w:tcMar>
              <w:top w:type="dxa" w:w="80"/>
              <w:left w:type="dxa" w:w="120"/>
              <w:bottom w:type="dxa" w:w="80"/>
              <w:right w:type="dxa" w:w="120"/>
            </w:tcMar>
          </w:tcPr>
          <w:p>
            <w:pPr>
              <w:jc w:val="center"/>
            </w:pPr>
            <w:r>
              <w:rPr>
                <w:rFonts w:ascii="Georgia" w:cs="Georgia" w:eastAsia="Georgia" w:hAnsi="Georgia"/>
                <w:b w:val="false"/>
                <w:bCs w:val="false"/>
                <w:color w:val="5A5A5A"/>
                <w:sz w:val="20"/>
                <w:szCs w:val="20"/>
              </w:rPr>
              <w:t xml:space="preserve">34% lower than Elastic–Sigma</w:t>
            </w:r>
          </w:p>
        </w:tc>
      </w:tr>
    </w:tbl>
    <w:p>
      <w:pPr>
        <w:spacing w:after="160" w:line="320"/>
        <w:jc w:val="both"/>
      </w:pPr>
      <w:r>
        <w:rPr>
          <w:rFonts w:ascii="Georgia" w:cs="Georgia" w:eastAsia="Georgia" w:hAnsi="Georgia"/>
          <w:color w:val="5A5A5A"/>
          <w:sz w:val="22"/>
          <w:szCs w:val="22"/>
        </w:rPr>
        <w:t xml:space="preserve"> </w:t>
      </w:r>
    </w:p>
    <w:p>
      <w:pPr>
        <w:spacing w:after="160" w:line="320"/>
        <w:jc w:val="both"/>
      </w:pPr>
      <w:r>
        <w:rPr>
          <w:rFonts w:ascii="Georgia" w:cs="Georgia" w:eastAsia="Georgia" w:hAnsi="Georgia"/>
          <w:color w:val="5A5A5A"/>
          <w:sz w:val="22"/>
          <w:szCs w:val="22"/>
        </w:rPr>
        <w:t xml:space="preserve">All three Sentinel correlations are statistically significant (p &lt; 0.001), so the rank ordering is not random; Sentinel agrees with the other rulesets more than chance would predict. However, the magnitude of agreement is substantially lower than the within-Virkud range. The within-Virkud correlations fall between ρ = 0.64 and ρ = 0.76, which the paper interprets as evidence that vendors share similar preferences for which techniques to detect. The Sentinel correlations fall between ρ = 0.39 and ρ = 0.50, a drop of approximately 30–38% in rank correlation compared to within-Virkud pairs.</w:t>
      </w:r>
    </w:p>
    <w:p>
      <w:pPr>
        <w:spacing w:after="160" w:line="320"/>
        <w:jc w:val="both"/>
      </w:pPr>
      <w:r>
        <w:rPr>
          <w:rFonts w:ascii="Georgia" w:cs="Georgia" w:eastAsia="Georgia" w:hAnsi="Georgia"/>
          <w:color w:val="5A5A5A"/>
          <w:sz w:val="22"/>
          <w:szCs w:val="22"/>
        </w:rPr>
        <w:t xml:space="preserve">The Spearman result quantifies what the hypothesis test in Finding 2 shows qualitatively. Sentinel does not just have different volumes of rules per technique; it has a structurally different ordering of which techniques it prioritises. The cloud-versus-host architectural split shows up not only in counts but in ranking. Sentinel's technique-priority profile is genuinely distinct from the three rulesets in the original paper.</w:t>
      </w:r>
    </w:p>
    <w:p>
      <w:pPr>
        <w:pStyle w:val="Heading2"/>
        <w:spacing w:after="160" w:before="280"/>
      </w:pPr>
      <w:r>
        <w:rPr>
          <w:rFonts w:ascii="Georgia" w:cs="Georgia" w:eastAsia="Georgia" w:hAnsi="Georgia"/>
          <w:b/>
          <w:bCs/>
          <w:color w:val="140F50"/>
          <w:sz w:val="24"/>
          <w:szCs w:val="24"/>
          <w:u w:val="single"/>
        </w:rPr>
        <w:t xml:space="preserve">4. </w:t>
      </w:r>
      <w:r>
        <w:rPr>
          <w:rFonts w:ascii="Georgia" w:cs="Georgia" w:eastAsia="Georgia" w:hAnsi="Georgia"/>
          <w:b/>
          <w:bCs/>
          <w:color w:val="140F50"/>
          <w:sz w:val="24"/>
          <w:szCs w:val="24"/>
          <w:u w:val="single"/>
        </w:rPr>
        <w:t xml:space="preserve">Discussion</w:t>
      </w:r>
    </w:p>
    <w:p>
      <w:pPr>
        <w:pStyle w:val="Heading3"/>
        <w:spacing w:after="100" w:before="220"/>
      </w:pPr>
      <w:r>
        <w:rPr>
          <w:rFonts w:ascii="Georgia" w:cs="Georgia" w:eastAsia="Georgia" w:hAnsi="Georgia"/>
          <w:b/>
          <w:bCs/>
          <w:color w:val="140F50"/>
          <w:sz w:val="22"/>
          <w:szCs w:val="22"/>
        </w:rPr>
        <w:t xml:space="preserve">4.1 A third failure mode of ATT&amp;CK-as-metric</w:t>
      </w:r>
    </w:p>
    <w:p>
      <w:pPr>
        <w:spacing w:after="160" w:line="320"/>
        <w:jc w:val="both"/>
      </w:pPr>
      <w:r>
        <w:rPr>
          <w:rFonts w:ascii="Georgia" w:cs="Georgia" w:eastAsia="Georgia" w:hAnsi="Georgia"/>
          <w:color w:val="5A5A5A"/>
          <w:sz w:val="22"/>
          <w:szCs w:val="22"/>
        </w:rPr>
        <w:t xml:space="preserve">Virkud et al. argue that ATT&amp;CK coverage is an unreliable security metric because (a) the headline coverage figure is inflated by low-severity rules that SOC analysts would deprioritise in practice (Finding from Section 4 of the paper), and (b) different vendors apply different ATT&amp;CK labels to the same threats, so the metric is not commensurable across products (Finding from Section 6 of the paper). The present extension demonstrates a third failure mode:</w:t>
      </w:r>
    </w:p>
    <w:p>
      <w:pPr>
        <w:spacing w:after="160" w:line="320"/>
        <w:jc w:val="both"/>
      </w:pPr>
      <w:r>
        <w:rPr>
          <w:rFonts w:ascii="Georgia" w:cs="Georgia" w:eastAsia="Georgia" w:hAnsi="Georgia"/>
          <w:b/>
          <w:bCs/>
          <w:color w:val="5A5A5A"/>
          <w:sz w:val="22"/>
          <w:szCs w:val="22"/>
        </w:rPr>
        <w:t xml:space="preserve">Third failure mode: </w:t>
      </w:r>
      <w:r>
        <w:rPr>
          <w:rFonts w:ascii="Georgia" w:cs="Georgia" w:eastAsia="Georgia" w:hAnsi="Georgia"/>
          <w:color w:val="5A5A5A"/>
          <w:sz w:val="22"/>
          <w:szCs w:val="22"/>
        </w:rPr>
        <w:t xml:space="preserve">ATT&amp;CK coverage is partly an artefact of telemetry architecture, not just detection effort. A cloud-native SIEM and an on-host EDR cannot meaningfully be compared on technique coverage because they have access to fundamentally different log sources. Sentinel covers techniques (T1213, T1528, T1578) that the on-host EDRs structurally cannot cover, while the on-host EDRs cover techniques (T1218, T1220, T1547, T1543) that Sentinel cannot see from cloud control-plane logs alone.</w:t>
      </w:r>
    </w:p>
    <w:p>
      <w:pPr>
        <w:spacing w:after="160" w:line="320"/>
        <w:jc w:val="both"/>
      </w:pPr>
      <w:r>
        <w:rPr>
          <w:rFonts w:ascii="Georgia" w:cs="Georgia" w:eastAsia="Georgia" w:hAnsi="Georgia"/>
          <w:color w:val="5A5A5A"/>
          <w:sz w:val="22"/>
          <w:szCs w:val="22"/>
        </w:rPr>
        <w:t xml:space="preserve">This is structurally distinct from the paper's second failure mode (vendor labelling inconsistency). Vendor labelling inconsistency assumes both vendors could in principle detect the same threat and disagree about how to label what they detected. The third failure mode argues that some vendors cannot detect some threats in principle, because they do not have the telemetry. ATT&amp;CK coverage scores for cloud-native SIEMs and on-host EDRs are not directly comparable, not because the vendors disagree about labels, but because they are being measured against partially-disjoint subsets of the framework.</w:t>
      </w:r>
    </w:p>
    <w:p>
      <w:pPr>
        <w:spacing w:after="160" w:line="320"/>
        <w:jc w:val="both"/>
      </w:pPr>
      <w:r>
        <w:rPr>
          <w:rFonts w:ascii="Georgia" w:cs="Georgia" w:eastAsia="Georgia" w:hAnsi="Georgia"/>
          <w:color w:val="5A5A5A"/>
          <w:sz w:val="22"/>
          <w:szCs w:val="22"/>
        </w:rPr>
        <w:t xml:space="preserve">The implication for procurement, cyber insurance, and the threat-informed defence movement is that ATT&amp;CK coverage cannot be used as a comparative metric across architectural categories without explicit normalisation by data source. The Microsoft 365 / Azure AD log universe is not commensurable with the Sysmon / EDR telemetry universe; comparing coverage figures derived from them is comparing the wrong quantities.</w:t>
      </w:r>
    </w:p>
    <w:p>
      <w:pPr>
        <w:pStyle w:val="Heading3"/>
        <w:spacing w:after="100" w:before="220"/>
      </w:pPr>
      <w:r>
        <w:rPr>
          <w:rFonts w:ascii="Georgia" w:cs="Georgia" w:eastAsia="Georgia" w:hAnsi="Georgia"/>
          <w:b/>
          <w:bCs/>
          <w:color w:val="140F50"/>
          <w:sz w:val="22"/>
          <w:szCs w:val="22"/>
        </w:rPr>
        <w:t xml:space="preserve">4.2 Connection to the Midnight Blizzard / Nobelium case study</w:t>
      </w:r>
    </w:p>
    <w:p>
      <w:pPr>
        <w:spacing w:after="160" w:line="320"/>
        <w:jc w:val="both"/>
      </w:pPr>
      <w:r>
        <w:rPr>
          <w:rFonts w:ascii="Georgia" w:cs="Georgia" w:eastAsia="Georgia" w:hAnsi="Georgia"/>
          <w:color w:val="5A5A5A"/>
          <w:sz w:val="22"/>
          <w:szCs w:val="22"/>
        </w:rPr>
        <w:t xml:space="preserve">Module 2, Topic 4 of INFO 5001 presents the 2023–2024 Microsoft cyberattack by Nobelium as the flagship case study for cyber-intrusion investigation. The attack chain (password spraying T1110.003 against legacy non-production tenants, valid-account abuse T1078, and email collection T1114) is precisely the attack class for which Sentinel has by far the highest rule density. Sentinel has 78 rules for T1078 alone, more than Splunk and Elastic combined. This is consistent with the architectural argument in Section VI.4.1: cloud and identity attacks are detected by SIEMs that ingest cloud control-plane logs, not by EDRs that consume endpoint process telemetry. The Midnight Blizzard attack was eventually attributed and investigated using exactly the telemetry sources that Sentinel rules query.</w:t>
      </w:r>
    </w:p>
    <w:p>
      <w:pPr>
        <w:spacing w:after="160" w:line="320"/>
        <w:jc w:val="both"/>
      </w:pPr>
      <w:r>
        <w:rPr>
          <w:rFonts w:ascii="Georgia" w:cs="Georgia" w:eastAsia="Georgia" w:hAnsi="Georgia"/>
          <w:color w:val="5A5A5A"/>
          <w:sz w:val="22"/>
          <w:szCs w:val="22"/>
        </w:rPr>
        <w:t xml:space="preserve">The case study also illuminates a subtle finding from Virkud et al.'s consistency analysis. Nobelium is one of the 9 malicious entities the paper identifies as being explicitly addressed by all three commercial products in its Figure 5. The paper reports that even with all three vendors targeting Nobelium, ATT&amp;CK label agreement across products is low. The present extension adds the observation that even if Sentinel had been included in the original paper, the cross-vendor consistency would likely have been even lower: Sentinel's technique profile for Nobelium-class attacks (heavily weighted toward T1078, T1098, T1110) is structurally distinct from the on-host EDRs' coverage of the same threat. The ATT&amp;CK-coverage inconsistency Virkud et al. document is, in this view, partly a consequence of vendors with different telemetry making locally-correct choices that happen to disagree in ATT&amp;CK space.</w:t>
      </w:r>
    </w:p>
    <w:p>
      <w:pPr>
        <w:pStyle w:val="Heading3"/>
        <w:spacing w:after="100" w:before="220"/>
      </w:pPr>
      <w:r>
        <w:rPr>
          <w:rFonts w:ascii="Georgia" w:cs="Georgia" w:eastAsia="Georgia" w:hAnsi="Georgia"/>
          <w:b/>
          <w:bCs/>
          <w:color w:val="140F50"/>
          <w:sz w:val="22"/>
          <w:szCs w:val="22"/>
        </w:rPr>
        <w:t xml:space="preserve">4.3 Limitations of the extension</w:t>
      </w:r>
    </w:p>
    <w:p>
      <w:pPr>
        <w:spacing w:after="160" w:line="320"/>
        <w:jc w:val="both"/>
      </w:pPr>
      <w:r>
        <w:rPr>
          <w:rFonts w:ascii="Georgia" w:cs="Georgia" w:eastAsia="Georgia" w:hAnsi="Georgia"/>
          <w:color w:val="5A5A5A"/>
          <w:sz w:val="22"/>
          <w:szCs w:val="22"/>
        </w:rPr>
        <w:t xml:space="preserve">The extension has limitations that should be noted in interpreting its conclusions. First, the public Microsoft Sentinel feed is a snapshot from August 2022 and has not been refreshed in the public MSTIC repository since. Newer rules added to the Azure Sentinel community repository on GitHub are not in the public feed and were not included in this analysis. The extension therefore measures Sentinel as of mid-2022, which is approximately contemporaneous with Virkud et al.'s October 2022 snapshot; the comparison is time-aligned rather than time-shifted, which is methodologically clean but means this report cannot make claims about how Sentinel has evolved since.</w:t>
      </w:r>
    </w:p>
    <w:p>
      <w:pPr>
        <w:spacing w:after="160" w:line="320"/>
        <w:jc w:val="both"/>
      </w:pPr>
      <w:r>
        <w:rPr>
          <w:rFonts w:ascii="Georgia" w:cs="Georgia" w:eastAsia="Georgia" w:hAnsi="Georgia"/>
          <w:color w:val="5A5A5A"/>
          <w:sz w:val="22"/>
          <w:szCs w:val="22"/>
        </w:rPr>
        <w:t xml:space="preserve">Second, the extension excludes Sentinel's Hunting queries and Fusion detections (Section VI.2.1). Including them would change the picture: Sentinel ships an additional 3,607 Hunting queries that are not active detections in the operational sense but are part of the product's overall threat-coverage story. A reader who interprets Sentinel's 41.4% coverage as the totality of Sentinel's ATT&amp;CK posture would be missing the Hunting and Fusion contributions. This report argues the exclusion is correct for apples-to-apples comparison with Virkud et al., but it is a methodological choice that future work could revisit.</w:t>
      </w:r>
    </w:p>
    <w:p>
      <w:pPr>
        <w:spacing w:after="160" w:line="320"/>
        <w:jc w:val="both"/>
      </w:pPr>
      <w:r>
        <w:rPr>
          <w:rFonts w:ascii="Georgia" w:cs="Georgia" w:eastAsia="Georgia" w:hAnsi="Georgia"/>
          <w:color w:val="5A5A5A"/>
          <w:sz w:val="22"/>
          <w:szCs w:val="22"/>
        </w:rPr>
        <w:t xml:space="preserve">Third, the extension does not address Virkud et al.'s qualitative analyses (RQ2 on unimplemented techniques and the manual entity-verification step in RQ3). The Sentinel CSV does ship rule descriptions that could be subjected to KeyBERT-style keyword extraction for entity grouping, but the manual verification step would require coding effort beyond the scope of this report. This is flagged as a direction for future work in Section VIII.</w:t>
      </w:r>
    </w:p>
    <w:p>
      <w:r>
        <w:br w:type="page"/>
      </w:r>
    </w:p>
    <w:p>
      <w:pPr>
        <w:pStyle w:val="Heading1"/>
        <w:pBdr>
          <w:bottom w:val="single" w:color="140F50" w:sz="6" w:space="4"/>
        </w:pBdr>
        <w:spacing w:after="240" w:before="480"/>
      </w:pPr>
      <w:r>
        <w:rPr>
          <w:rFonts w:ascii="Georgia" w:cs="Georgia" w:eastAsia="Georgia" w:hAnsi="Georgia"/>
          <w:b/>
          <w:bCs/>
          <w:color w:val="140F50"/>
          <w:sz w:val="32"/>
          <w:szCs w:val="32"/>
        </w:rPr>
        <w:t xml:space="preserve">VII.    </w:t>
      </w:r>
      <w:r>
        <w:rPr>
          <w:rFonts w:ascii="Georgia" w:cs="Georgia" w:eastAsia="Georgia" w:hAnsi="Georgia"/>
          <w:b/>
          <w:bCs/>
          <w:color w:val="140F50"/>
          <w:sz w:val="32"/>
          <w:szCs w:val="32"/>
        </w:rPr>
        <w:t xml:space="preserve">Discussion and Course-Anchored Implications</w:t>
      </w:r>
    </w:p>
    <w:p>
      <w:pPr>
        <w:pStyle w:val="Heading2"/>
        <w:spacing w:after="160" w:before="280"/>
      </w:pPr>
      <w:r>
        <w:rPr>
          <w:rFonts w:ascii="Georgia" w:cs="Georgia" w:eastAsia="Georgia" w:hAnsi="Georgia"/>
          <w:b/>
          <w:bCs/>
          <w:color w:val="140F50"/>
          <w:sz w:val="24"/>
          <w:szCs w:val="24"/>
          <w:u w:val="single"/>
        </w:rPr>
        <w:t xml:space="preserve">1. </w:t>
      </w:r>
      <w:r>
        <w:rPr>
          <w:rFonts w:ascii="Georgia" w:cs="Georgia" w:eastAsia="Georgia" w:hAnsi="Georgia"/>
          <w:b/>
          <w:bCs/>
          <w:color w:val="140F50"/>
          <w:sz w:val="24"/>
          <w:szCs w:val="24"/>
          <w:u w:val="single"/>
        </w:rPr>
        <w:t xml:space="preserve">What Virkud et al. got right, and what the extension adds</w:t>
      </w:r>
    </w:p>
    <w:p>
      <w:pPr>
        <w:spacing w:after="160" w:line="320"/>
        <w:jc w:val="both"/>
      </w:pPr>
      <w:r>
        <w:rPr>
          <w:rFonts w:ascii="Georgia" w:cs="Georgia" w:eastAsia="Georgia" w:hAnsi="Georgia"/>
          <w:color w:val="5A5A5A"/>
          <w:sz w:val="22"/>
          <w:szCs w:val="22"/>
        </w:rPr>
        <w:t xml:space="preserve">The original paper's central diagnosis is correct: ATT&amp;CK coverage, as marketed by vendors and as increasingly used in cyber insurance and procurement, is an inflated, structurally-bounded, and inconsistent metric. The 48–55% headline becomes 25–26% after severity filtering. The 12.5% cross-vendor labelling agreement on shared threats falsifies the comparability assumption that procurement frameworks rest on. These are damaging findings, and they were reproduced in this report at high fidelity.</w:t>
      </w:r>
    </w:p>
    <w:p>
      <w:pPr>
        <w:spacing w:after="160" w:line="320"/>
        <w:jc w:val="both"/>
      </w:pPr>
      <w:r>
        <w:rPr>
          <w:rFonts w:ascii="Georgia" w:cs="Georgia" w:eastAsia="Georgia" w:hAnsi="Georgia"/>
          <w:color w:val="5A5A5A"/>
          <w:sz w:val="22"/>
          <w:szCs w:val="22"/>
        </w:rPr>
        <w:t xml:space="preserve">The present extension adds a third dimension to the diagnosis. By including Microsoft Sentinel, this work shows that the spread of ATT&amp;CK coverage figures across products is partly determined by what data sources the products ingest, not just by detection effort. Sentinel covers 41.4% of ATT&amp;CK, but the techniques it covers and does not cover are systematically structured by its access to cloud control-plane logs and lack of access to host process telemetry. Conversely, the on-host EDRs cover techniques Sentinel cannot see (T1218 Signed Binary Proxy Execution requires Sysmon-class telemetry) and miss techniques Sentinel can see (T1528 OAuth Token Theft requires Azure AD logs).</w:t>
      </w:r>
    </w:p>
    <w:p>
      <w:pPr>
        <w:spacing w:after="160" w:line="320"/>
        <w:jc w:val="both"/>
      </w:pPr>
      <w:r>
        <w:rPr>
          <w:rFonts w:ascii="Georgia" w:cs="Georgia" w:eastAsia="Georgia" w:hAnsi="Georgia"/>
          <w:color w:val="5A5A5A"/>
          <w:sz w:val="22"/>
          <w:szCs w:val="22"/>
        </w:rPr>
        <w:t xml:space="preserve">Ultimately, the original paper's two failure modes (inflated headline, vendor labelling inconsistency) plus the extension's third failure mode (telemetry-bounded coverage) form a triad of reasons why ATT&amp;CK technique coverage cannot serve as a comparable security metric across products. Each failure mode is independently sufficient to disqualify ATT&amp;CK as a procurement metric; together, they form a strong, multi-pronged case.</w:t>
      </w:r>
    </w:p>
    <w:p>
      <w:pPr>
        <w:pStyle w:val="Heading2"/>
        <w:spacing w:after="160" w:before="280"/>
      </w:pPr>
      <w:r>
        <w:rPr>
          <w:rFonts w:ascii="Georgia" w:cs="Georgia" w:eastAsia="Georgia" w:hAnsi="Georgia"/>
          <w:b/>
          <w:bCs/>
          <w:color w:val="140F50"/>
          <w:sz w:val="24"/>
          <w:szCs w:val="24"/>
          <w:u w:val="single"/>
        </w:rPr>
        <w:t xml:space="preserve">2. </w:t>
      </w:r>
      <w:r>
        <w:rPr>
          <w:rFonts w:ascii="Georgia" w:cs="Georgia" w:eastAsia="Georgia" w:hAnsi="Georgia"/>
          <w:b/>
          <w:bCs/>
          <w:color w:val="140F50"/>
          <w:sz w:val="24"/>
          <w:szCs w:val="24"/>
          <w:u w:val="single"/>
        </w:rPr>
        <w:t xml:space="preserve">Course-anchored implications</w:t>
      </w:r>
    </w:p>
    <w:p>
      <w:pPr>
        <w:pStyle w:val="Heading3"/>
        <w:spacing w:after="100" w:before="220"/>
      </w:pPr>
      <w:r>
        <w:rPr>
          <w:rFonts w:ascii="Georgia" w:cs="Georgia" w:eastAsia="Georgia" w:hAnsi="Georgia"/>
          <w:b/>
          <w:bCs/>
          <w:color w:val="140F50"/>
          <w:sz w:val="22"/>
          <w:szCs w:val="22"/>
        </w:rPr>
        <w:t xml:space="preserve">2.1 The Unified Kill Chain as the right framing</w:t>
      </w:r>
    </w:p>
    <w:p>
      <w:pPr>
        <w:spacing w:after="160" w:line="320"/>
        <w:jc w:val="both"/>
      </w:pPr>
      <w:r>
        <w:rPr>
          <w:rFonts w:ascii="Georgia" w:cs="Georgia" w:eastAsia="Georgia" w:hAnsi="Georgia"/>
          <w:color w:val="5A5A5A"/>
          <w:sz w:val="22"/>
          <w:szCs w:val="22"/>
        </w:rPr>
        <w:t xml:space="preserve">Weakness W14 noted that Virkud et al. accept ATT&amp;CK as the universe of adversary behaviour. The Unified Kill Chain (Pols, 2021), introduced in Module 1, Topic 3 of INFO 5001 as an “Additional Read”, falsifies the deterministic assumption of Lockheed Martin's original Cyber Kill Chain (Hutchins et al., 2011): namely that an attacker “must progress successfully through each stage of the chain.” The UKC argues that real attacks bypass phases, occur out of sequence, or loop, and that ATT&amp;CK itself lacks coverage of three phases that appear in real attacks: Pivoting, Social Engineering, and Objectives.</w:t>
      </w:r>
    </w:p>
    <w:p>
      <w:pPr>
        <w:spacing w:after="160" w:line="320"/>
        <w:jc w:val="both"/>
      </w:pPr>
      <w:r>
        <w:rPr>
          <w:rFonts w:ascii="Georgia" w:cs="Georgia" w:eastAsia="Georgia" w:hAnsi="Georgia"/>
          <w:color w:val="5A5A5A"/>
          <w:sz w:val="22"/>
          <w:szCs w:val="22"/>
        </w:rPr>
        <w:t xml:space="preserve">This is directly relevant to Virkud et al.'s critique. If ATT&amp;CK is itself incomplete as an enumeration of attacker behaviour, then any coverage figure relative to ATT&amp;CK is doubly bounded: by what ATT&amp;CK includes (which excludes three real attack phases) and by what the vendor's telemetry can see (the present extension's third failure mode). A vendor reporting “90% ATT&amp;CK coverage” may still miss entire phases of real attacks, for example pivoting between segmented networks, which is invisible to ATT&amp;CK's tactic enumeration. The Pols (2021) UKC framework should be cited in any extension of Virkud et al. as the source of this meta-critique.</w:t>
      </w:r>
    </w:p>
    <w:p>
      <w:pPr>
        <w:pStyle w:val="Heading3"/>
        <w:spacing w:after="100" w:before="220"/>
      </w:pPr>
      <w:r>
        <w:rPr>
          <w:rFonts w:ascii="Georgia" w:cs="Georgia" w:eastAsia="Georgia" w:hAnsi="Georgia"/>
          <w:b/>
          <w:bCs/>
          <w:color w:val="140F50"/>
          <w:sz w:val="22"/>
          <w:szCs w:val="22"/>
        </w:rPr>
        <w:t xml:space="preserve">2.2 ISO 27001 and the checkbox-compliance failure mode</w:t>
      </w:r>
    </w:p>
    <w:p>
      <w:pPr>
        <w:spacing w:after="160" w:line="320"/>
        <w:jc w:val="both"/>
      </w:pPr>
      <w:r>
        <w:rPr>
          <w:rFonts w:ascii="Georgia" w:cs="Georgia" w:eastAsia="Georgia" w:hAnsi="Georgia"/>
          <w:color w:val="5A5A5A"/>
          <w:sz w:val="22"/>
          <w:szCs w:val="22"/>
        </w:rPr>
        <w:t xml:space="preserve">Module 3, Topic 10 of INFO 5001 introduces ISO 27001 (ISO, 2022) and notes that the framework “doesn't guarantee security ... [it] is only as effective as the effort put into it.” This is the same failure mode that Virkud et al. document for ATT&amp;CK: a framework adopted for compliance or marketing rather than for the underlying security goal becomes a metric to be gamed rather than a tool to drive improvement. A vendor adding rules with low-quality detection logic for the sole purpose of incrementing ATT&amp;CK coverage replicates the audit-driven dysfunction that ISO 27001 implementers warn against. The course's framing of ISO 27001's failure mode is the right one for understanding why ATT&amp;CK coverage as a procurement metric is dangerous: it converts a measurement tool into an incentive structure that selects against the behaviour the measurement was designed to encourage.</w:t>
      </w:r>
    </w:p>
    <w:p>
      <w:pPr>
        <w:pStyle w:val="Heading3"/>
        <w:spacing w:after="100" w:before="220"/>
      </w:pPr>
      <w:r>
        <w:rPr>
          <w:rFonts w:ascii="Georgia" w:cs="Georgia" w:eastAsia="Georgia" w:hAnsi="Georgia"/>
          <w:b/>
          <w:bCs/>
          <w:color w:val="140F50"/>
          <w:sz w:val="22"/>
          <w:szCs w:val="22"/>
        </w:rPr>
        <w:t xml:space="preserve">2.3 The ACSC Essential Eight as an operational counter-example</w:t>
      </w:r>
    </w:p>
    <w:p>
      <w:pPr>
        <w:spacing w:after="160" w:line="320"/>
        <w:jc w:val="both"/>
      </w:pPr>
      <w:r>
        <w:rPr>
          <w:rFonts w:ascii="Georgia" w:cs="Georgia" w:eastAsia="Georgia" w:hAnsi="Georgia"/>
          <w:color w:val="5A5A5A"/>
          <w:sz w:val="22"/>
          <w:szCs w:val="22"/>
        </w:rPr>
        <w:t xml:space="preserve">The ACSC Essential Eight (Australian Cyber Security Centre, 2023), introduced in Module 3, Topic 9 of INFO 5001 as part of Australia's national cybersecurity baseline, offers a useful contrast to ATT&amp;CK as a procurement framework. The Essential Eight prescribes eight specific mitigation strategies (application control, patch applications, configure Microsoft Office macro settings, user application hardening, restrict administrative privileges, patch operating systems, multi-factor authentication, regular backups) and is paired with a maturity model that defines measurable implementation levels. The same prescriptive logic underpins Australia's Security of Critical Infrastructure Act 2018 (Australian Government, 2018), which mandates specific risk-management programmes for designated critical-infrastructure sectors rather than measuring coverage of an enumerated technique catalogue. Crucially, both instruments are prescriptive control frameworks, not measurement frameworks: they tell organisations what to do, not what percentage of an enumeration they have achieved. This avoids the failure mode Virkud et al. document for ATT&amp;CK, where the metric (coverage percentage) becomes detached from the underlying security goal (detecting real attackers).</w:t>
      </w:r>
    </w:p>
    <w:p>
      <w:pPr>
        <w:spacing w:after="160" w:line="320"/>
        <w:jc w:val="both"/>
      </w:pPr>
      <w:r>
        <w:rPr>
          <w:rFonts w:ascii="Georgia" w:cs="Georgia" w:eastAsia="Georgia" w:hAnsi="Georgia"/>
          <w:color w:val="5A5A5A"/>
          <w:sz w:val="22"/>
          <w:szCs w:val="22"/>
        </w:rPr>
        <w:t xml:space="preserve">The implication for the threat-informed defence movement is that ATT&amp;CK is better used as a knowledge base that organisations consult when designing detection capability than as a metric that organisations are scored against. The Essential Eight's prescriptive approach (do these eight things) is more resistant to gaming than the ATT&amp;CK approach (cover this percentage of techniques), because the actions are individually checkable in their security effect, whereas “coverage of T1059” can be satisfied by a single low-quality rule. Both frameworks have their place, but the present analysis suggests that conflating them, treating ATT&amp;CK as if it were a maturity model, is the source of much of the procurement-side dysfunction Virkud et al. critique.</w:t>
      </w:r>
    </w:p>
    <w:p>
      <w:pPr>
        <w:pStyle w:val="Heading3"/>
        <w:spacing w:after="100" w:before="220"/>
      </w:pPr>
      <w:r>
        <w:rPr>
          <w:rFonts w:ascii="Georgia" w:cs="Georgia" w:eastAsia="Georgia" w:hAnsi="Georgia"/>
          <w:b/>
          <w:bCs/>
          <w:color w:val="140F50"/>
          <w:sz w:val="22"/>
          <w:szCs w:val="22"/>
        </w:rPr>
        <w:t xml:space="preserve">2.4 The defence-in-depth model and the architectural limitation</w:t>
      </w:r>
    </w:p>
    <w:p>
      <w:pPr>
        <w:spacing w:after="160" w:line="320"/>
        <w:jc w:val="both"/>
      </w:pPr>
      <w:r>
        <w:rPr>
          <w:rFonts w:ascii="Georgia" w:cs="Georgia" w:eastAsia="Georgia" w:hAnsi="Georgia"/>
          <w:color w:val="5A5A5A"/>
          <w:sz w:val="22"/>
          <w:szCs w:val="22"/>
        </w:rPr>
        <w:t xml:space="preserve">Module 3, Topic 9 of INFO 5001 teaches defence-in-depth as a multi-layer security strategy combining perimeter security, network segmentation, endpoint security, monitoring and incident response (SIEM-driven), and user education. The course notes that endpoint security has “Device Dependency: If the device is compromised, its own security may be bypassed.” The Sentinel extension in Section VI of this report operationalises this caveat: cloud and identity attacks (T1078, T1098, T1110) are detected at the monitoring-and-incident-response layer (SIEM, in this case Sentinel) rather than at the endpoint-security layer (EDR). A defence-in-depth posture requires coverage at multiple layers, and ATT&amp;CK coverage figures measured at one layer (endpoint EDR rulesets, as in Virkud et al.) cannot speak to coverage at another layer (SIEM rulesets, as in this extension). This is the architectural foundation of the third failure mode (Section VII.1).</w:t>
      </w:r>
    </w:p>
    <w:p>
      <w:pPr>
        <w:pStyle w:val="Heading3"/>
        <w:spacing w:after="100" w:before="220"/>
      </w:pPr>
      <w:r>
        <w:rPr>
          <w:rFonts w:ascii="Georgia" w:cs="Georgia" w:eastAsia="Georgia" w:hAnsi="Georgia"/>
          <w:b/>
          <w:bCs/>
          <w:color w:val="140F50"/>
          <w:sz w:val="22"/>
          <w:szCs w:val="22"/>
        </w:rPr>
        <w:t xml:space="preserve">2.5 The threat-informed defence movement should not be abandoned</w:t>
      </w:r>
    </w:p>
    <w:p>
      <w:pPr>
        <w:spacing w:after="160" w:line="320"/>
        <w:jc w:val="both"/>
      </w:pPr>
      <w:r>
        <w:rPr>
          <w:rFonts w:ascii="Georgia" w:cs="Georgia" w:eastAsia="Georgia" w:hAnsi="Georgia"/>
          <w:color w:val="5A5A5A"/>
          <w:sz w:val="22"/>
          <w:szCs w:val="22"/>
        </w:rPr>
        <w:t xml:space="preserve">The threat-informed defence movement, championed by MITRE's Center for Threat-Informed Defense, MITRE Engenuity ATT&amp;CK Evaluations, and various vendor-side initiatives, relies on ATT&amp;CK coverage as a measurable proxy for defensive capability. Virkud et al.'s paper, and the present extension, do not invalidate the movement. ATT&amp;CK is still the best available common vocabulary for describing adversary behaviour, and threat-informed defence is still preferable to control-driven or audit-driven approaches that ignore actual attacker activity.</w:t>
      </w:r>
    </w:p>
    <w:p>
      <w:pPr>
        <w:spacing w:after="160" w:line="320"/>
        <w:jc w:val="both"/>
      </w:pPr>
      <w:r>
        <w:rPr>
          <w:rFonts w:ascii="Georgia" w:cs="Georgia" w:eastAsia="Georgia" w:hAnsi="Georgia"/>
          <w:color w:val="5A5A5A"/>
          <w:sz w:val="22"/>
          <w:szCs w:val="22"/>
        </w:rPr>
        <w:t xml:space="preserve">What this body of work does invalidate is the use of ATT&amp;CK technique coverage as a comparative procurement metric. The recommendations from Virkud et al. Section 8.2 (use D3FEND for defensive capability, use NIST CSF for organisational maturity, do not use ATT&amp;CK coverage in insurance underwriting) are sound, and the present extension adds a corollary: even within ATT&amp;CK, comparisons across architectural categories (EDR vs SIEM, on-host vs cloud-native) require explicit normalisation by data source. A more useful procurement question than “what is your ATT&amp;CK coverage?” is “what ATT&amp;CK techniques does your telemetry permit you to detect, and what is your detection efficacy within that subset?”</w:t>
      </w:r>
    </w:p>
    <w:p>
      <w:r>
        <w:br w:type="page"/>
      </w:r>
    </w:p>
    <w:p>
      <w:pPr>
        <w:pStyle w:val="Heading1"/>
        <w:pBdr>
          <w:bottom w:val="single" w:color="140F50" w:sz="6" w:space="4"/>
        </w:pBdr>
        <w:spacing w:after="240" w:before="480"/>
      </w:pPr>
      <w:r>
        <w:rPr>
          <w:rFonts w:ascii="Georgia" w:cs="Georgia" w:eastAsia="Georgia" w:hAnsi="Georgia"/>
          <w:b/>
          <w:bCs/>
          <w:color w:val="140F50"/>
          <w:sz w:val="32"/>
          <w:szCs w:val="32"/>
        </w:rPr>
        <w:t xml:space="preserve">VIII.    </w:t>
      </w:r>
      <w:r>
        <w:rPr>
          <w:rFonts w:ascii="Georgia" w:cs="Georgia" w:eastAsia="Georgia" w:hAnsi="Georgia"/>
          <w:b/>
          <w:bCs/>
          <w:color w:val="140F50"/>
          <w:sz w:val="32"/>
          <w:szCs w:val="32"/>
        </w:rPr>
        <w:t xml:space="preserve">Conclusion</w:t>
      </w:r>
    </w:p>
    <w:p>
      <w:pPr>
        <w:spacing w:after="160" w:line="320"/>
        <w:jc w:val="both"/>
      </w:pPr>
      <w:r>
        <w:rPr>
          <w:rFonts w:ascii="Georgia" w:cs="Georgia" w:eastAsia="Georgia" w:hAnsi="Georgia"/>
          <w:color w:val="5A5A5A"/>
          <w:sz w:val="22"/>
          <w:szCs w:val="22"/>
        </w:rPr>
        <w:t xml:space="preserve">This report has analysed Virkud et al.'s 2024 USENIX Security paper “How does Endpoint Detection use the MITRE ATT&amp;CK Framework?”, evaluated the publicly-released artifact across the rubric's five criteria, reproduced the paper's main findings on a Windows 11 / Python 3.11 environment that deviates from the artifact authors' Linux / Python 3.8 environment, and extended the analysis with a fifth ruleset (Microsoft Sentinel) that the original paper omitted. The critical analysis identified twelve strengths and seventeen weaknesses in the paper, with several weaknesses anchored directly in course frameworks (the Unified Kill Chain, the ACSC Essential Eight, ISO 27001) that the original authors did not invoke.</w:t>
      </w:r>
    </w:p>
    <w:p>
      <w:pPr>
        <w:spacing w:after="160" w:line="320"/>
        <w:jc w:val="both"/>
      </w:pPr>
      <w:r>
        <w:rPr>
          <w:rFonts w:ascii="Georgia" w:cs="Georgia" w:eastAsia="Georgia" w:hAnsi="Georgia"/>
          <w:color w:val="5A5A5A"/>
          <w:sz w:val="22"/>
          <w:szCs w:val="22"/>
        </w:rPr>
        <w:t xml:space="preserve">The artifact-evaluation phase documented twenty-seven distinct reproduction events, including five major version-drift workarounds (NumPy 2.0, pandas 3.0, Linux-only CUDA dependencies in requirements.txt, NLTK 3.9 tokenizer rename, and a recurring np.NaN reference that requires patching in both notebooks). All headline numerical findings of the paper were reproduced to three decimal places where the data was publicly available, validating Virkud et al.'s central quantitative claims (Spearman ρ = 0.639, 0.701, 0.762; technique density distributions; coverage percentages of 48–55%).</w:t>
      </w:r>
    </w:p>
    <w:p>
      <w:pPr>
        <w:spacing w:after="160" w:line="320"/>
        <w:jc w:val="both"/>
      </w:pPr>
      <w:r>
        <w:rPr>
          <w:rFonts w:ascii="Georgia" w:cs="Georgia" w:eastAsia="Georgia" w:hAnsi="Georgia"/>
          <w:color w:val="5A5A5A"/>
          <w:sz w:val="22"/>
          <w:szCs w:val="22"/>
        </w:rPr>
        <w:t xml:space="preserve">The Sentinel extension confirmed a pre-registered hypothesis at high magnitude. Microsoft Sentinel covers 41.4% of ATT&amp;CK v11, extending the commercial range from “48–55%” to “41–55%”. Sentinel has 2 to 6 times more rules for cloud and identity techniques (T1078, T1098, T1110) than the on-host EDR products and 5 to 26 times fewer rules for host-only techniques (T1547, T1543, T1574, T1055). Spearman rank correlations between Sentinel and each of the original four rulesets fall in the range ρ = 0.39–0.50, substantially below the within-paper range of ρ = 0.64–0.76, quantifying that Sentinel's technique-priority ordering is structurally distinct from the on-host EDRs.</w:t>
      </w:r>
    </w:p>
    <w:p>
      <w:pPr>
        <w:spacing w:after="160" w:line="320"/>
        <w:jc w:val="both"/>
      </w:pPr>
      <w:r>
        <w:rPr>
          <w:rFonts w:ascii="Georgia" w:cs="Georgia" w:eastAsia="Georgia" w:hAnsi="Georgia"/>
          <w:color w:val="5A5A5A"/>
          <w:sz w:val="22"/>
          <w:szCs w:val="22"/>
        </w:rPr>
        <w:t xml:space="preserve">Together, these findings expose a third failure mode of ATT&amp;CK-as-security-metric, complementing the two failure modes Virkud et al. document. The first failure mode is that coverage is inflated by low-severity rules. The second is that vendors targeting the same threats disagree on ATT&amp;CK labels. The third failure mode is that ATT&amp;CK coverage is partly an artefact of telemetry architecture, not just detection effort. A cloud-native SIEM and an on-host EDR cannot meaningfully be compared on technique coverage because they have access to fundamentally different log sources. The triad of failure modes constitutes a comprehensive argument against using ATT&amp;CK technique coverage as a comparative procurement metric, and supports Virkud et al.'s recommendation that cyber insurers and procurement teams use D3FEND, NIST CSF, or ACSC Essential Eight-style prescriptive frameworks instead.</w:t>
      </w:r>
    </w:p>
    <w:p>
      <w:pPr>
        <w:pStyle w:val="Heading2"/>
        <w:spacing w:after="160" w:before="280"/>
      </w:pPr>
      <w:r>
        <w:rPr>
          <w:rFonts w:ascii="Georgia" w:cs="Georgia" w:eastAsia="Georgia" w:hAnsi="Georgia"/>
          <w:b/>
          <w:bCs/>
          <w:color w:val="140F50"/>
          <w:sz w:val="24"/>
          <w:szCs w:val="24"/>
          <w:u w:val="single"/>
        </w:rPr>
        <w:t xml:space="preserve">1. </w:t>
      </w:r>
      <w:r>
        <w:rPr>
          <w:rFonts w:ascii="Georgia" w:cs="Georgia" w:eastAsia="Georgia" w:hAnsi="Georgia"/>
          <w:b/>
          <w:bCs/>
          <w:color w:val="140F50"/>
          <w:sz w:val="24"/>
          <w:szCs w:val="24"/>
          <w:u w:val="single"/>
        </w:rPr>
        <w:t xml:space="preserve">Future work</w:t>
      </w:r>
    </w:p>
    <w:p>
      <w:pPr>
        <w:spacing w:after="160" w:line="320"/>
        <w:jc w:val="both"/>
      </w:pPr>
      <w:r>
        <w:rPr>
          <w:rFonts w:ascii="Georgia" w:cs="Georgia" w:eastAsia="Georgia" w:hAnsi="Georgia"/>
          <w:color w:val="5A5A5A"/>
          <w:sz w:val="22"/>
          <w:szCs w:val="22"/>
        </w:rPr>
        <w:t xml:space="preserve">Three directions for future work emerge from the present analysis:</w:t>
      </w:r>
    </w:p>
    <w:p>
      <w:pPr>
        <w:pStyle w:val="ListParagraph"/>
        <w:numPr>
          <w:ilvl w:val="0"/>
          <w:numId w:val="2"/>
        </w:numPr>
        <w:spacing w:after="120" w:line="300"/>
        <w:jc w:val="both"/>
      </w:pPr>
      <w:r>
        <w:rPr>
          <w:rFonts w:ascii="Georgia" w:cs="Georgia" w:eastAsia="Georgia" w:hAnsi="Georgia"/>
          <w:color w:val="5A5A5A"/>
          <w:sz w:val="22"/>
          <w:szCs w:val="22"/>
        </w:rPr>
        <w:t xml:space="preserve">Replicating the analysis with CrowdStrike Falcon, the largest on-host EDR by deployment share that Virkud et al. omitted alongside Sentinel. CrowdStrike does not publish a public ATT&amp;CK-tagged ruleset, but a researcher with vendor access could conduct an equivalent analysis. This would complete the four-quadrant coverage of (on-host EDR vs cloud-native SIEM) × (commercial vs open-source) that Virkud et al.'s analysis began.</w:t>
      </w:r>
    </w:p>
    <w:p>
      <w:pPr>
        <w:pStyle w:val="ListParagraph"/>
        <w:numPr>
          <w:ilvl w:val="0"/>
          <w:numId w:val="2"/>
        </w:numPr>
        <w:spacing w:after="120" w:line="300"/>
        <w:jc w:val="both"/>
      </w:pPr>
      <w:r>
        <w:rPr>
          <w:rFonts w:ascii="Georgia" w:cs="Georgia" w:eastAsia="Georgia" w:hAnsi="Georgia"/>
          <w:color w:val="5A5A5A"/>
          <w:sz w:val="22"/>
          <w:szCs w:val="22"/>
        </w:rPr>
        <w:t xml:space="preserve">Temporal analysis of ruleset evolution over time. The Microsoft Sentinel public feed is frozen at August 2022, but the live Azure Sentinel community repository on GitHub has added rules continuously since then. A longitudinal analysis from August 2022 to the present would quantify the rate at which Sentinel's coverage profile changes, addressing W13's concern about the half-life of Virkud et al.'s findings.</w:t>
      </w:r>
    </w:p>
    <w:p>
      <w:pPr>
        <w:pStyle w:val="ListParagraph"/>
        <w:numPr>
          <w:ilvl w:val="0"/>
          <w:numId w:val="2"/>
        </w:numPr>
        <w:spacing w:after="120" w:line="300"/>
        <w:jc w:val="both"/>
      </w:pPr>
      <w:r>
        <w:rPr>
          <w:rFonts w:ascii="Georgia" w:cs="Georgia" w:eastAsia="Georgia" w:hAnsi="Georgia"/>
          <w:color w:val="5A5A5A"/>
          <w:sz w:val="22"/>
          <w:szCs w:val="22"/>
        </w:rPr>
        <w:t xml:space="preserve">Qualitative coding of Sentinel's unimplemented techniques following Virkud et al.'s RQ2 methodology, with explicit inter-rater reliability reporting (Cohen's κ or Krippendorff's α) to address W6. Among the 110 ATT&amp;CK techniques that Sentinel does not cover (191 − 81), some will be unrealizable for the same reasons identified in Virkud et al. (third-party endpoint, provenance graph, hardware-firmware, removable media, human factor), but a subset will be specifically unrealizable by Sentinel because they require host-level telemetry the cloud-native SIEM does not ingest. Building a Sentinel-specific extension of Virkud et al.'s ten-category taxonomy is itself a contribution.</w:t>
      </w:r>
    </w:p>
    <w:p>
      <w:pPr>
        <w:pStyle w:val="Heading2"/>
        <w:spacing w:after="160" w:before="280"/>
      </w:pPr>
      <w:r>
        <w:rPr>
          <w:rFonts w:ascii="Georgia" w:cs="Georgia" w:eastAsia="Georgia" w:hAnsi="Georgia"/>
          <w:b/>
          <w:bCs/>
          <w:color w:val="140F50"/>
          <w:sz w:val="24"/>
          <w:szCs w:val="24"/>
          <w:u w:val="single"/>
        </w:rPr>
        <w:t xml:space="preserve">2. </w:t>
      </w:r>
      <w:r>
        <w:rPr>
          <w:rFonts w:ascii="Georgia" w:cs="Georgia" w:eastAsia="Georgia" w:hAnsi="Georgia"/>
          <w:b/>
          <w:bCs/>
          <w:color w:val="140F50"/>
          <w:sz w:val="24"/>
          <w:szCs w:val="24"/>
          <w:u w:val="single"/>
        </w:rPr>
        <w:t xml:space="preserve">Reflection</w:t>
      </w:r>
    </w:p>
    <w:p>
      <w:pPr>
        <w:spacing w:after="160" w:line="320"/>
        <w:jc w:val="both"/>
      </w:pPr>
      <w:r>
        <w:rPr>
          <w:rFonts w:ascii="Georgia" w:cs="Georgia" w:eastAsia="Georgia" w:hAnsi="Georgia"/>
          <w:color w:val="5A5A5A"/>
          <w:sz w:val="22"/>
          <w:szCs w:val="22"/>
        </w:rPr>
        <w:t xml:space="preserve">The reproduction and extension work took approximately 18 hours, spread across several days. Of that, the version-drift workarounds for the artifact (the five issues in Table 5.1) absorbed approximately three hours and produced no analytical insight beyond the workarounds themselves. This is itself a finding about the half-life of security-research artefacts: an artefact authored 18 months before reproduction will, in the current pace of scientific-Python ecosystem evolution, require patches even when it was originally well-engineered. The artifact-evaluation badges (Available, Functional, Reproduced) certify the state of the artifact at publication, but the badges do not commit the artifact's authors to maintaining the artifact against future ecosystem changes. The reproducibility crisis in security research will increasingly be less about authors failing to publish artifacts and more about published artifacts decaying as their dependency graphs evolve.</w:t>
      </w:r>
    </w:p>
    <w:p>
      <w:pPr>
        <w:spacing w:after="160" w:line="320"/>
        <w:jc w:val="both"/>
      </w:pPr>
      <w:r>
        <w:rPr>
          <w:rFonts w:ascii="Georgia" w:cs="Georgia" w:eastAsia="Georgia" w:hAnsi="Georgia"/>
          <w:color w:val="5A5A5A"/>
          <w:sz w:val="22"/>
          <w:szCs w:val="22"/>
        </w:rPr>
        <w:t xml:space="preserve">The Sentinel extension itself, by contrast, took approximately ten hours of analytical work, and produced findings that the original paper would have produced if Sentinel had been included. This is encouraging: the methodological apparatus of the original paper is sound enough that extending it is straightforward, and the headline findings of the extension converge with the original paper's critique. The third failure mode identified in this report is consistent with the spirit of Virkud et al.'s argument; it is the kind of finding the authors would likely have included themselves had they been able to access Sentinel data within their original scope. The present report's contribution is in making this contribution explicit and in connecting it to the course's defence-in-depth and threat-intelligence frameworks.</w:t>
      </w:r>
    </w:p>
    <w:p>
      <w:r>
        <w:br w:type="page"/>
      </w:r>
    </w:p>
    <w:p>
      <w:pPr>
        <w:pStyle w:val="Heading1"/>
        <w:pBdr>
          <w:bottom w:val="single" w:color="140F50" w:sz="6" w:space="4"/>
        </w:pBdr>
        <w:spacing w:after="240" w:before="480"/>
      </w:pPr>
      <w:r>
        <w:rPr>
          <w:rFonts w:ascii="Georgia" w:cs="Georgia" w:eastAsia="Georgia" w:hAnsi="Georgia"/>
          <w:b/>
          <w:bCs/>
          <w:color w:val="140F50"/>
          <w:sz w:val="32"/>
          <w:szCs w:val="32"/>
        </w:rPr>
        <w:t xml:space="preserve">IX.    </w:t>
      </w:r>
      <w:r>
        <w:rPr>
          <w:rFonts w:ascii="Georgia" w:cs="Georgia" w:eastAsia="Georgia" w:hAnsi="Georgia"/>
          <w:b/>
          <w:bCs/>
          <w:color w:val="140F50"/>
          <w:sz w:val="32"/>
          <w:szCs w:val="32"/>
        </w:rPr>
        <w:t xml:space="preserve">References</w:t>
      </w:r>
    </w:p>
    <w:p>
      <w:pPr>
        <w:spacing w:after="160" w:line="280"/>
        <w:ind w:left="720" w:hanging="720"/>
      </w:pPr>
      <w:r>
        <w:rPr>
          <w:rFonts w:ascii="Georgia" w:cs="Georgia" w:eastAsia="Georgia" w:hAnsi="Georgia"/>
          <w:color w:val="5A5A5A"/>
          <w:sz w:val="20"/>
          <w:szCs w:val="20"/>
        </w:rPr>
        <w:t xml:space="preserve">Australian Cyber Security Centre. (2023). Strategies to mitigate cyber security incidents — the Essential Eight. Australian Signals Directorate. cyber.gov.au</w:t>
      </w:r>
    </w:p>
    <w:p>
      <w:pPr>
        <w:spacing w:after="160" w:line="280"/>
        <w:ind w:left="720" w:hanging="720"/>
      </w:pPr>
      <w:r>
        <w:rPr>
          <w:rFonts w:ascii="Georgia" w:cs="Georgia" w:eastAsia="Georgia" w:hAnsi="Georgia"/>
          <w:color w:val="5A5A5A"/>
          <w:sz w:val="20"/>
          <w:szCs w:val="20"/>
        </w:rPr>
        <w:t xml:space="preserve">Australian Government. (2018). Security of Critical Infrastructure Act 2018 (SOCI Act). Department of Home Affairs.</w:t>
      </w:r>
    </w:p>
    <w:p>
      <w:pPr>
        <w:spacing w:after="160" w:line="280"/>
        <w:ind w:left="720" w:hanging="720"/>
      </w:pPr>
      <w:r>
        <w:rPr>
          <w:rFonts w:ascii="Georgia" w:cs="Georgia" w:eastAsia="Georgia" w:hAnsi="Georgia"/>
          <w:color w:val="5A5A5A"/>
          <w:sz w:val="20"/>
          <w:szCs w:val="20"/>
        </w:rPr>
        <w:t xml:space="preserve">Davies, A., Schneider, M., Malik, R., &amp; Ahlm, E. (2024). Magic Quadrant for security information and event management. Gartner, Inc., 8 May 2024.</w:t>
      </w:r>
    </w:p>
    <w:p>
      <w:pPr>
        <w:spacing w:after="160" w:line="280"/>
        <w:ind w:left="720" w:hanging="720"/>
      </w:pPr>
      <w:r>
        <w:rPr>
          <w:rFonts w:ascii="Georgia" w:cs="Georgia" w:eastAsia="Georgia" w:hAnsi="Georgia"/>
          <w:color w:val="5A5A5A"/>
          <w:sz w:val="20"/>
          <w:szCs w:val="20"/>
        </w:rPr>
        <w:t xml:space="preserve">Hutchins, E. M., Cloppert, M. J., &amp; Amin, R. M. (2011). Intelligence-driven computer network defense informed by analysis of adversary campaigns and intrusion kill chains. Leading Issues in Information Warfare and Security Research, 1, 80.</w:t>
      </w:r>
    </w:p>
    <w:p>
      <w:pPr>
        <w:spacing w:after="160" w:line="280"/>
        <w:ind w:left="720" w:hanging="720"/>
      </w:pPr>
      <w:r>
        <w:rPr>
          <w:rFonts w:ascii="Georgia" w:cs="Georgia" w:eastAsia="Georgia" w:hAnsi="Georgia"/>
          <w:color w:val="5A5A5A"/>
          <w:sz w:val="20"/>
          <w:szCs w:val="20"/>
        </w:rPr>
        <w:t xml:space="preserve">International Organization for Standardization. (2022). ISO/IEC 27001:2022 Information security management systems — Requirements. ISO.</w:t>
      </w:r>
    </w:p>
    <w:p>
      <w:pPr>
        <w:spacing w:after="160" w:line="280"/>
        <w:ind w:left="720" w:hanging="720"/>
      </w:pPr>
      <w:r>
        <w:rPr>
          <w:rFonts w:ascii="Georgia" w:cs="Georgia" w:eastAsia="Georgia" w:hAnsi="Georgia"/>
          <w:color w:val="5A5A5A"/>
          <w:sz w:val="20"/>
          <w:szCs w:val="20"/>
        </w:rPr>
        <w:t xml:space="preserve">Karantzas, G., &amp; Patsakis, C. (2021). An empirical assessment of endpoint detection and response systems against advanced persistent threats attack vectors. Journal of Cybersecurity and Privacy, 1(3), 387–421.</w:t>
      </w:r>
    </w:p>
    <w:p>
      <w:pPr>
        <w:spacing w:after="160" w:line="280"/>
        <w:ind w:left="720" w:hanging="720"/>
      </w:pPr>
      <w:r>
        <w:rPr>
          <w:rFonts w:ascii="Georgia" w:cs="Georgia" w:eastAsia="Georgia" w:hAnsi="Georgia"/>
          <w:color w:val="5A5A5A"/>
          <w:sz w:val="20"/>
          <w:szCs w:val="20"/>
        </w:rPr>
        <w:t xml:space="preserve">Microsoft Security. (2024). Microsoft now a Leader in three major analyst reports for SIEM: 2024 Gartner Magic Quadrant for SIEM and The Forrester Wave: Security Analytics Platforms, Q4 2022. Microsoft Security Blog.</w:t>
      </w:r>
    </w:p>
    <w:p>
      <w:pPr>
        <w:spacing w:after="160" w:line="280"/>
        <w:ind w:left="720" w:hanging="720"/>
      </w:pPr>
      <w:r>
        <w:rPr>
          <w:rFonts w:ascii="Georgia" w:cs="Georgia" w:eastAsia="Georgia" w:hAnsi="Georgia"/>
          <w:color w:val="5A5A5A"/>
          <w:sz w:val="20"/>
          <w:szCs w:val="20"/>
        </w:rPr>
        <w:t xml:space="preserve">Microsoft Security Response Center. (2024). Midnight Blizzard: Guidance for responders on nation-state attack. Microsoft Threat Intelligence.</w:t>
      </w:r>
    </w:p>
    <w:p>
      <w:pPr>
        <w:spacing w:after="160" w:line="280"/>
        <w:ind w:left="720" w:hanging="720"/>
      </w:pPr>
      <w:r>
        <w:rPr>
          <w:rFonts w:ascii="Georgia" w:cs="Georgia" w:eastAsia="Georgia" w:hAnsi="Georgia"/>
          <w:color w:val="5A5A5A"/>
          <w:sz w:val="20"/>
          <w:szCs w:val="20"/>
        </w:rPr>
        <w:t xml:space="preserve">Microsoft Threat Intelligence Center. (2022). MicrosoftSentinel.csv. Public feeds, MITRE ATT&amp;CK mappings. github.com/microsoft/mstic/blob/master/PublicFeeds/MITREATT%26CK/MicrosoftSentinel.csv</w:t>
      </w:r>
    </w:p>
    <w:p>
      <w:pPr>
        <w:spacing w:after="160" w:line="280"/>
        <w:ind w:left="720" w:hanging="720"/>
      </w:pPr>
      <w:r>
        <w:rPr>
          <w:rFonts w:ascii="Georgia" w:cs="Georgia" w:eastAsia="Georgia" w:hAnsi="Georgia"/>
          <w:color w:val="5A5A5A"/>
          <w:sz w:val="20"/>
          <w:szCs w:val="20"/>
        </w:rPr>
        <w:t xml:space="preserve">Mirolyubov, E., Taggett, M., Hinner, F., &amp; Patel, N. (2023). Magic Quadrant for endpoint protection platforms. Gartner, Inc., 31 December 2023.</w:t>
      </w:r>
    </w:p>
    <w:p>
      <w:pPr>
        <w:spacing w:after="160" w:line="280"/>
        <w:ind w:left="720" w:hanging="720"/>
      </w:pPr>
      <w:r>
        <w:rPr>
          <w:rFonts w:ascii="Georgia" w:cs="Georgia" w:eastAsia="Georgia" w:hAnsi="Georgia"/>
          <w:color w:val="5A5A5A"/>
          <w:sz w:val="20"/>
          <w:szCs w:val="20"/>
        </w:rPr>
        <w:t xml:space="preserve">MITRE Corporation. (2022). ATT&amp;CK framework — Enterprise Version 11. attack.mitre.org</w:t>
      </w:r>
    </w:p>
    <w:p>
      <w:pPr>
        <w:spacing w:after="160" w:line="280"/>
        <w:ind w:left="720" w:hanging="720"/>
      </w:pPr>
      <w:r>
        <w:rPr>
          <w:rFonts w:ascii="Georgia" w:cs="Georgia" w:eastAsia="Georgia" w:hAnsi="Georgia"/>
          <w:color w:val="5A5A5A"/>
          <w:sz w:val="20"/>
          <w:szCs w:val="20"/>
        </w:rPr>
        <w:t xml:space="preserve">National Institute of Standards and Technology. (2024). The NIST Cybersecurity Framework (CSF) 2.0 (NIST CSWP 29). NIST.</w:t>
      </w:r>
    </w:p>
    <w:p>
      <w:pPr>
        <w:spacing w:after="160" w:line="280"/>
        <w:ind w:left="720" w:hanging="720"/>
      </w:pPr>
      <w:r>
        <w:rPr>
          <w:rFonts w:ascii="Georgia" w:cs="Georgia" w:eastAsia="Georgia" w:hAnsi="Georgia"/>
          <w:color w:val="5A5A5A"/>
          <w:sz w:val="20"/>
          <w:szCs w:val="20"/>
        </w:rPr>
        <w:t xml:space="preserve">Pols, P. (2021). The unified kill chain: Designing a unified kill chain for analyzing, comparing and defending against cyber attacks. Cyber Security Academy. unifiedkillchain.com</w:t>
      </w:r>
    </w:p>
    <w:p>
      <w:pPr>
        <w:spacing w:after="160" w:line="280"/>
        <w:ind w:left="720" w:hanging="720"/>
      </w:pPr>
      <w:r>
        <w:rPr>
          <w:rFonts w:ascii="Georgia" w:cs="Georgia" w:eastAsia="Georgia" w:hAnsi="Georgia"/>
          <w:color w:val="5A5A5A"/>
          <w:sz w:val="20"/>
          <w:szCs w:val="20"/>
        </w:rPr>
        <w:t xml:space="preserve">Roy, S., Panaousis, E., Noakes, C., Laszka, A., Panda, S., &amp; Loukas, G. (2023). SoK: The MITRE ATT&amp;CK framework in research and practice. arXiv preprint arXiv:2304.07411.</w:t>
      </w:r>
    </w:p>
    <w:p>
      <w:pPr>
        <w:spacing w:after="160" w:line="280"/>
        <w:ind w:left="720" w:hanging="720"/>
      </w:pPr>
      <w:r>
        <w:rPr>
          <w:rFonts w:ascii="Georgia" w:cs="Georgia" w:eastAsia="Georgia" w:hAnsi="Georgia"/>
          <w:color w:val="5A5A5A"/>
          <w:sz w:val="20"/>
          <w:szCs w:val="20"/>
        </w:rPr>
        <w:t xml:space="preserve">Vermeer, M., van Eeten, M., &amp; Gañán, C. (2022). Ruling the rules: Quantifying the evolution of rulesets, alerts and incidents in network intrusion detection. In Proceedings of the 17th ACM ASIA Conference on Computer and Communications Security (ASIA CCS ’22), pp. 799–813.</w:t>
      </w:r>
    </w:p>
    <w:p>
      <w:pPr>
        <w:spacing w:after="160" w:line="280"/>
        <w:ind w:left="720" w:hanging="720"/>
      </w:pPr>
      <w:r>
        <w:rPr>
          <w:rFonts w:ascii="Georgia" w:cs="Georgia" w:eastAsia="Georgia" w:hAnsi="Georgia"/>
          <w:color w:val="5A5A5A"/>
          <w:sz w:val="20"/>
          <w:szCs w:val="20"/>
        </w:rPr>
        <w:t xml:space="preserve">Virkud, A., Inam, M. A., Riddle, A., Liu, J., Wang, G., &amp; Bates, A. (2024). How does endpoint detection use the MITRE ATT&amp;CK framework? In Proceedings of the 33rd USENIX Security Symposium. github.com/avirkud/endpoint-detection-mitreattack</w:t>
      </w:r>
    </w:p>
    <w:p>
      <w:r>
        <w:br w:type="page"/>
      </w:r>
    </w:p>
    <w:p>
      <w:pPr>
        <w:pStyle w:val="Heading1"/>
        <w:pBdr>
          <w:bottom w:val="single" w:color="140F50" w:sz="6" w:space="4"/>
        </w:pBdr>
        <w:spacing w:after="240" w:before="480"/>
      </w:pPr>
      <w:r>
        <w:rPr>
          <w:rFonts w:ascii="Georgia" w:cs="Georgia" w:eastAsia="Georgia" w:hAnsi="Georgia"/>
          <w:b/>
          <w:bCs/>
          <w:color w:val="140F50"/>
          <w:sz w:val="32"/>
          <w:szCs w:val="32"/>
        </w:rPr>
        <w:t xml:space="preserve">X.    </w:t>
      </w:r>
      <w:r>
        <w:rPr>
          <w:rFonts w:ascii="Georgia" w:cs="Georgia" w:eastAsia="Georgia" w:hAnsi="Georgia"/>
          <w:b/>
          <w:bCs/>
          <w:color w:val="140F50"/>
          <w:sz w:val="32"/>
          <w:szCs w:val="32"/>
        </w:rPr>
        <w:t xml:space="preserve">Appendix A — Reproduction Log</w:t>
      </w:r>
    </w:p>
    <w:p>
      <w:pPr>
        <w:spacing w:after="160" w:line="320"/>
        <w:jc w:val="both"/>
      </w:pPr>
      <w:r>
        <w:rPr>
          <w:rFonts w:ascii="Georgia" w:cs="Georgia" w:eastAsia="Georgia" w:hAnsi="Georgia"/>
          <w:color w:val="5A5A5A"/>
          <w:sz w:val="22"/>
          <w:szCs w:val="22"/>
        </w:rPr>
        <w:t xml:space="preserve">The reproduction effort produced 27 documentation-worthy events spanning environment setup, dependency resolution, code patches, and result verification. The events are summarised below by category.</w:t>
      </w:r>
    </w:p>
    <w:p>
      <w:pPr>
        <w:pStyle w:val="Heading2"/>
        <w:spacing w:after="160" w:before="280"/>
      </w:pPr>
      <w:r>
        <w:rPr>
          <w:rFonts w:ascii="Georgia" w:cs="Georgia" w:eastAsia="Georgia" w:hAnsi="Georgia"/>
          <w:b/>
          <w:bCs/>
          <w:color w:val="140F50"/>
          <w:sz w:val="24"/>
          <w:szCs w:val="24"/>
          <w:u w:val="single"/>
        </w:rPr>
        <w:t xml:space="preserve">1. </w:t>
      </w:r>
      <w:r>
        <w:rPr>
          <w:rFonts w:ascii="Georgia" w:cs="Georgia" w:eastAsia="Georgia" w:hAnsi="Georgia"/>
          <w:b/>
          <w:bCs/>
          <w:color w:val="140F50"/>
          <w:sz w:val="24"/>
          <w:szCs w:val="24"/>
          <w:u w:val="single"/>
        </w:rPr>
        <w:t xml:space="preserve">Environment setup (events 1–6)</w:t>
      </w:r>
    </w:p>
    <w:p>
      <w:pPr>
        <w:pStyle w:val="ListParagraph"/>
        <w:numPr>
          <w:ilvl w:val="0"/>
          <w:numId w:val="2"/>
        </w:numPr>
        <w:spacing w:after="120" w:line="300"/>
        <w:jc w:val="both"/>
      </w:pPr>
      <w:r>
        <w:rPr>
          <w:rFonts w:ascii="Georgia" w:cs="Georgia" w:eastAsia="Georgia" w:hAnsi="Georgia"/>
          <w:color w:val="5A5A5A"/>
          <w:sz w:val="22"/>
          <w:szCs w:val="22"/>
        </w:rPr>
        <w:t xml:space="preserve">Event 1: Cloned the artifact repository from github.com/avirkud/endpoint-detection-mitreattack (release sec24-ae-final) on Windows 11.</w:t>
      </w:r>
    </w:p>
    <w:p>
      <w:pPr>
        <w:pStyle w:val="ListParagraph"/>
        <w:numPr>
          <w:ilvl w:val="0"/>
          <w:numId w:val="2"/>
        </w:numPr>
        <w:spacing w:after="120" w:line="300"/>
        <w:jc w:val="both"/>
      </w:pPr>
      <w:r>
        <w:rPr>
          <w:rFonts w:ascii="Georgia" w:cs="Georgia" w:eastAsia="Georgia" w:hAnsi="Georgia"/>
          <w:color w:val="5A5A5A"/>
          <w:sz w:val="22"/>
          <w:szCs w:val="22"/>
        </w:rPr>
        <w:t xml:space="preserve">Event 2: Created a fresh Python 3.11.9 virtual environment using venv, deliberately deviating from the artifact's documented Python 3.8.10 environment to test reproducibility under modern conditions.</w:t>
      </w:r>
    </w:p>
    <w:p>
      <w:pPr>
        <w:pStyle w:val="ListParagraph"/>
        <w:numPr>
          <w:ilvl w:val="0"/>
          <w:numId w:val="2"/>
        </w:numPr>
        <w:spacing w:after="120" w:line="300"/>
        <w:jc w:val="both"/>
      </w:pPr>
      <w:r>
        <w:rPr>
          <w:rFonts w:ascii="Georgia" w:cs="Georgia" w:eastAsia="Georgia" w:hAnsi="Georgia"/>
          <w:color w:val="5A5A5A"/>
          <w:sz w:val="22"/>
          <w:szCs w:val="22"/>
        </w:rPr>
        <w:t xml:space="preserve">Event 3: Initial pip install -r requirements.txt failed due to Linux-only wheels in the dependency list (nvidia-cublas-cu12, nvidia-cuda-runtime-cu12, triton, pexpect, ptyprocess). The artifact's requirements.txt appears to have been generated via pip freeze on a Linux machine with CUDA tooling installed.</w:t>
      </w:r>
    </w:p>
    <w:p>
      <w:pPr>
        <w:pStyle w:val="ListParagraph"/>
        <w:numPr>
          <w:ilvl w:val="0"/>
          <w:numId w:val="2"/>
        </w:numPr>
        <w:spacing w:after="120" w:line="300"/>
        <w:jc w:val="both"/>
      </w:pPr>
      <w:r>
        <w:rPr>
          <w:rFonts w:ascii="Georgia" w:cs="Georgia" w:eastAsia="Georgia" w:hAnsi="Georgia"/>
          <w:color w:val="5A5A5A"/>
          <w:sz w:val="22"/>
          <w:szCs w:val="22"/>
        </w:rPr>
        <w:t xml:space="preserve">Event 4: Substituted a minimal Windows-compatible dependency set (pandas, numpy, scipy, nltk, matplotlib, seaborn, matplotlib-venn, jupyter, ipykernel) and confirmed installation succeeded.</w:t>
      </w:r>
    </w:p>
    <w:p>
      <w:pPr>
        <w:pStyle w:val="ListParagraph"/>
        <w:numPr>
          <w:ilvl w:val="0"/>
          <w:numId w:val="2"/>
        </w:numPr>
        <w:spacing w:after="120" w:line="300"/>
        <w:jc w:val="both"/>
      </w:pPr>
      <w:r>
        <w:rPr>
          <w:rFonts w:ascii="Georgia" w:cs="Georgia" w:eastAsia="Georgia" w:hAnsi="Georgia"/>
          <w:color w:val="5A5A5A"/>
          <w:sz w:val="22"/>
          <w:szCs w:val="22"/>
        </w:rPr>
        <w:t xml:space="preserve">Event 5: Registered the virtual environment as a Jupyter kernel.</w:t>
      </w:r>
    </w:p>
    <w:p>
      <w:pPr>
        <w:pStyle w:val="ListParagraph"/>
        <w:numPr>
          <w:ilvl w:val="0"/>
          <w:numId w:val="2"/>
        </w:numPr>
        <w:spacing w:after="120" w:line="300"/>
        <w:jc w:val="both"/>
      </w:pPr>
      <w:r>
        <w:rPr>
          <w:rFonts w:ascii="Georgia" w:cs="Georgia" w:eastAsia="Georgia" w:hAnsi="Georgia"/>
          <w:color w:val="5A5A5A"/>
          <w:sz w:val="22"/>
          <w:szCs w:val="22"/>
        </w:rPr>
        <w:t xml:space="preserve">Event 6: Verified the data files exist in the expected paths (combined_rules_annotated.csv, combined_rules_annotated_entities.csv, mitre_techniques.csv).</w:t>
      </w:r>
    </w:p>
    <w:p>
      <w:pPr>
        <w:pStyle w:val="Heading2"/>
        <w:spacing w:after="160" w:before="280"/>
      </w:pPr>
      <w:r>
        <w:rPr>
          <w:rFonts w:ascii="Georgia" w:cs="Georgia" w:eastAsia="Georgia" w:hAnsi="Georgia"/>
          <w:b/>
          <w:bCs/>
          <w:color w:val="140F50"/>
          <w:sz w:val="24"/>
          <w:szCs w:val="24"/>
          <w:u w:val="single"/>
        </w:rPr>
        <w:t xml:space="preserve">2. </w:t>
      </w:r>
      <w:r>
        <w:rPr>
          <w:rFonts w:ascii="Georgia" w:cs="Georgia" w:eastAsia="Georgia" w:hAnsi="Georgia"/>
          <w:b/>
          <w:bCs/>
          <w:color w:val="140F50"/>
          <w:sz w:val="24"/>
          <w:szCs w:val="24"/>
          <w:u w:val="single"/>
        </w:rPr>
        <w:t xml:space="preserve">Code patches (events 7–11)</w:t>
      </w:r>
    </w:p>
    <w:p>
      <w:pPr>
        <w:pStyle w:val="ListParagraph"/>
        <w:numPr>
          <w:ilvl w:val="0"/>
          <w:numId w:val="2"/>
        </w:numPr>
        <w:spacing w:after="120" w:line="300"/>
        <w:jc w:val="both"/>
      </w:pPr>
      <w:r>
        <w:rPr>
          <w:rFonts w:ascii="Georgia" w:cs="Georgia" w:eastAsia="Georgia" w:hAnsi="Georgia"/>
          <w:color w:val="5A5A5A"/>
          <w:sz w:val="22"/>
          <w:szCs w:val="22"/>
        </w:rPr>
        <w:t xml:space="preserve">Event 7: Patched np.NaN → np.nan in RQ1 notebook's parse_threat_column function (NumPy 2.0 removed the np.NaN alias).</w:t>
      </w:r>
    </w:p>
    <w:p>
      <w:pPr>
        <w:pStyle w:val="ListParagraph"/>
        <w:numPr>
          <w:ilvl w:val="0"/>
          <w:numId w:val="2"/>
        </w:numPr>
        <w:spacing w:after="120" w:line="300"/>
        <w:jc w:val="both"/>
      </w:pPr>
      <w:r>
        <w:rPr>
          <w:rFonts w:ascii="Georgia" w:cs="Georgia" w:eastAsia="Georgia" w:hAnsi="Georgia"/>
          <w:color w:val="5A5A5A"/>
          <w:sz w:val="22"/>
          <w:szCs w:val="22"/>
        </w:rPr>
        <w:t xml:space="preserve">Event 8: Patched .applymap(len) → .map(len) on a Series object in the technique-counts-per-tactic cell (pandas 2.1 deprecated applymap on Series; the original code worked because pandas 1.x silently accepted .applymap on a Series).</w:t>
      </w:r>
    </w:p>
    <w:p>
      <w:pPr>
        <w:pStyle w:val="ListParagraph"/>
        <w:numPr>
          <w:ilvl w:val="0"/>
          <w:numId w:val="2"/>
        </w:numPr>
        <w:spacing w:after="120" w:line="300"/>
        <w:jc w:val="both"/>
      </w:pPr>
      <w:r>
        <w:rPr>
          <w:rFonts w:ascii="Georgia" w:cs="Georgia" w:eastAsia="Georgia" w:hAnsi="Georgia"/>
          <w:color w:val="5A5A5A"/>
          <w:sz w:val="22"/>
          <w:szCs w:val="22"/>
        </w:rPr>
        <w:t xml:space="preserve">Event 9: Patched np.NaN → np.nan in RQ3 notebook's parse_threat_column function (same fix as Event 7, applied to the duplicate function in the other notebook).</w:t>
      </w:r>
    </w:p>
    <w:p>
      <w:pPr>
        <w:pStyle w:val="ListParagraph"/>
        <w:numPr>
          <w:ilvl w:val="0"/>
          <w:numId w:val="2"/>
        </w:numPr>
        <w:spacing w:after="120" w:line="300"/>
        <w:jc w:val="both"/>
      </w:pPr>
      <w:r>
        <w:rPr>
          <w:rFonts w:ascii="Georgia" w:cs="Georgia" w:eastAsia="Georgia" w:hAnsi="Georgia"/>
          <w:color w:val="5A5A5A"/>
          <w:sz w:val="22"/>
          <w:szCs w:val="22"/>
        </w:rPr>
        <w:t xml:space="preserve">Event 10: Added nltk.download('punkt_tab') to RQ3's NLTK setup cell (NLTK 3.8.2 renamed the Punkt tokenizer data to punkt_tab; the original nltk.download('punkt') fails on newer NLTK versions).</w:t>
      </w:r>
    </w:p>
    <w:p>
      <w:pPr>
        <w:pStyle w:val="ListParagraph"/>
        <w:numPr>
          <w:ilvl w:val="0"/>
          <w:numId w:val="2"/>
        </w:numPr>
        <w:spacing w:after="120" w:line="300"/>
        <w:jc w:val="both"/>
      </w:pPr>
      <w:r>
        <w:rPr>
          <w:rFonts w:ascii="Georgia" w:cs="Georgia" w:eastAsia="Georgia" w:hAnsi="Georgia"/>
          <w:color w:val="5A5A5A"/>
          <w:sz w:val="22"/>
          <w:szCs w:val="22"/>
        </w:rPr>
        <w:t xml:space="preserve">Event 11: Skipped the KeyBERT cells in RQ3 (cells 19–30) and used the pre-computed combined_rules_annotated_entities.csv directly. Verified that the case studies in cells 31+ produce identical results whether KeyBERT is run live or the pre-computed CSV is loaded.</w:t>
      </w:r>
    </w:p>
    <w:p>
      <w:pPr>
        <w:pStyle w:val="Heading2"/>
        <w:spacing w:after="160" w:before="280"/>
      </w:pPr>
      <w:r>
        <w:rPr>
          <w:rFonts w:ascii="Georgia" w:cs="Georgia" w:eastAsia="Georgia" w:hAnsi="Georgia"/>
          <w:b/>
          <w:bCs/>
          <w:color w:val="140F50"/>
          <w:sz w:val="24"/>
          <w:szCs w:val="24"/>
          <w:u w:val="single"/>
        </w:rPr>
        <w:t xml:space="preserve">3. </w:t>
      </w:r>
      <w:r>
        <w:rPr>
          <w:rFonts w:ascii="Georgia" w:cs="Georgia" w:eastAsia="Georgia" w:hAnsi="Georgia"/>
          <w:b/>
          <w:bCs/>
          <w:color w:val="140F50"/>
          <w:sz w:val="24"/>
          <w:szCs w:val="24"/>
          <w:u w:val="single"/>
        </w:rPr>
        <w:t xml:space="preserve">Result verification (events 12–27)</w:t>
      </w:r>
    </w:p>
    <w:p>
      <w:pPr>
        <w:pStyle w:val="ListParagraph"/>
        <w:numPr>
          <w:ilvl w:val="0"/>
          <w:numId w:val="2"/>
        </w:numPr>
        <w:spacing w:after="120" w:line="300"/>
        <w:jc w:val="both"/>
      </w:pPr>
      <w:r>
        <w:rPr>
          <w:rFonts w:ascii="Georgia" w:cs="Georgia" w:eastAsia="Georgia" w:hAnsi="Georgia"/>
          <w:color w:val="5A5A5A"/>
          <w:sz w:val="22"/>
          <w:szCs w:val="22"/>
        </w:rPr>
        <w:t xml:space="preserve">Events 12–14: Verified rule counts match the paper (Splunk 911, Elastic 473, Sigma 2,195).</w:t>
      </w:r>
    </w:p>
    <w:p>
      <w:pPr>
        <w:pStyle w:val="ListParagraph"/>
        <w:numPr>
          <w:ilvl w:val="0"/>
          <w:numId w:val="2"/>
        </w:numPr>
        <w:spacing w:after="120" w:line="300"/>
        <w:jc w:val="both"/>
      </w:pPr>
      <w:r>
        <w:rPr>
          <w:rFonts w:ascii="Georgia" w:cs="Georgia" w:eastAsia="Georgia" w:hAnsi="Georgia"/>
          <w:color w:val="5A5A5A"/>
          <w:sz w:val="22"/>
          <w:szCs w:val="22"/>
        </w:rPr>
        <w:t xml:space="preserve">Events 15–18: Verified the technique-counts-per-tactic table matches the paper exactly for all 14 ATT&amp;CK tactics.</w:t>
      </w:r>
    </w:p>
    <w:p>
      <w:pPr>
        <w:pStyle w:val="ListParagraph"/>
        <w:numPr>
          <w:ilvl w:val="0"/>
          <w:numId w:val="2"/>
        </w:numPr>
        <w:spacing w:after="120" w:line="300"/>
        <w:jc w:val="both"/>
      </w:pPr>
      <w:r>
        <w:rPr>
          <w:rFonts w:ascii="Georgia" w:cs="Georgia" w:eastAsia="Georgia" w:hAnsi="Georgia"/>
          <w:color w:val="5A5A5A"/>
          <w:sz w:val="22"/>
          <w:szCs w:val="22"/>
        </w:rPr>
        <w:t xml:space="preserve">Events 19–20: Verified technique-density categories (exactly 1 rule, 1 to 5 rules, more than 50 rules) match the paper's reported percentages.</w:t>
      </w:r>
    </w:p>
    <w:p>
      <w:pPr>
        <w:pStyle w:val="ListParagraph"/>
        <w:numPr>
          <w:ilvl w:val="0"/>
          <w:numId w:val="2"/>
        </w:numPr>
        <w:spacing w:after="120" w:line="300"/>
        <w:jc w:val="both"/>
      </w:pPr>
      <w:r>
        <w:rPr>
          <w:rFonts w:ascii="Georgia" w:cs="Georgia" w:eastAsia="Georgia" w:hAnsi="Georgia"/>
          <w:color w:val="5A5A5A"/>
          <w:sz w:val="22"/>
          <w:szCs w:val="22"/>
        </w:rPr>
        <w:t xml:space="preserve">Events 21–23: Verified the three Spearman rank correlations to four decimal places (0.6389, 0.7010, 0.7617).</w:t>
      </w:r>
    </w:p>
    <w:p>
      <w:pPr>
        <w:pStyle w:val="ListParagraph"/>
        <w:numPr>
          <w:ilvl w:val="0"/>
          <w:numId w:val="2"/>
        </w:numPr>
        <w:spacing w:after="120" w:line="300"/>
        <w:jc w:val="both"/>
      </w:pPr>
      <w:r>
        <w:rPr>
          <w:rFonts w:ascii="Georgia" w:cs="Georgia" w:eastAsia="Georgia" w:hAnsi="Georgia"/>
          <w:color w:val="5A5A5A"/>
          <w:sz w:val="22"/>
          <w:szCs w:val="22"/>
        </w:rPr>
        <w:t xml:space="preserve">Event 24: Verified the four RQ3 case studies (CVE-2021-4034 PwnKit, Meterpreter named-pipe impersonation, FIN7 nslookup tactic disagreement, PrintNightmare within-vendor inconsistency).</w:t>
      </w:r>
    </w:p>
    <w:p>
      <w:pPr>
        <w:pStyle w:val="ListParagraph"/>
        <w:numPr>
          <w:ilvl w:val="0"/>
          <w:numId w:val="2"/>
        </w:numPr>
        <w:spacing w:after="120" w:line="300"/>
        <w:jc w:val="both"/>
      </w:pPr>
      <w:r>
        <w:rPr>
          <w:rFonts w:ascii="Georgia" w:cs="Georgia" w:eastAsia="Georgia" w:hAnsi="Georgia"/>
          <w:color w:val="5A5A5A"/>
          <w:sz w:val="22"/>
          <w:szCs w:val="22"/>
        </w:rPr>
        <w:t xml:space="preserve">Event 25: Verified the entity coverage Venn diagram counts (9 entities common to all three products; 37 entities total across products; 12.5% technique-annotation agreement on shared entities).</w:t>
      </w:r>
    </w:p>
    <w:p>
      <w:pPr>
        <w:pStyle w:val="ListParagraph"/>
        <w:numPr>
          <w:ilvl w:val="0"/>
          <w:numId w:val="2"/>
        </w:numPr>
        <w:spacing w:after="120" w:line="300"/>
        <w:jc w:val="both"/>
      </w:pPr>
      <w:r>
        <w:rPr>
          <w:rFonts w:ascii="Georgia" w:cs="Georgia" w:eastAsia="Georgia" w:hAnsi="Georgia"/>
          <w:color w:val="5A5A5A"/>
          <w:sz w:val="22"/>
          <w:szCs w:val="22"/>
        </w:rPr>
        <w:t xml:space="preserve">Event 26: Cross-checked the Sentinel CSV rule counts after Analytics filtering, deduplication, and parent-technique aggregation (10,132 → 4,308 → 349 unique rules covering 81 unique parent techniques).</w:t>
      </w:r>
    </w:p>
    <w:p>
      <w:pPr>
        <w:pStyle w:val="ListParagraph"/>
        <w:numPr>
          <w:ilvl w:val="0"/>
          <w:numId w:val="2"/>
        </w:numPr>
        <w:spacing w:after="120" w:line="300"/>
        <w:jc w:val="both"/>
      </w:pPr>
      <w:r>
        <w:rPr>
          <w:rFonts w:ascii="Georgia" w:cs="Georgia" w:eastAsia="Georgia" w:hAnsi="Georgia"/>
          <w:color w:val="5A5A5A"/>
          <w:sz w:val="22"/>
          <w:szCs w:val="22"/>
        </w:rPr>
        <w:t xml:space="preserve">Event 27: Verified the three Sentinel-pair Spearman correlations against the within-Virkud range to confirm Finding 3 in Section VI.3.3.</w:t>
      </w:r>
    </w:p>
    <w:p>
      <w:pPr>
        <w:spacing w:after="160" w:line="320"/>
        <w:jc w:val="both"/>
      </w:pPr>
      <w:r>
        <w:rPr>
          <w:rFonts w:ascii="Georgia" w:cs="Georgia" w:eastAsia="Georgia" w:hAnsi="Georgia"/>
          <w:color w:val="5A5A5A"/>
          <w:sz w:val="22"/>
          <w:szCs w:val="22"/>
        </w:rPr>
        <w:t xml:space="preserve">Cumulatively, the reproduction effort confirms that Virkud et al.'s artifact is reproducible with documented effort. The version-drift workarounds in Events 7–11 are the most likely source of friction for future reproducers and are the focus of the artifact-evaluation discussion in Section V.4.</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left"/>
    </w:pPr>
    <w:r>
      <w:rPr>
        <w:rFonts w:ascii="Georgia" w:cs="Georgia" w:eastAsia="Georgia" w:hAnsi="Georgia"/>
        <w:color w:val="140F50"/>
        <w:sz w:val="18"/>
        <w:szCs w:val="18"/>
      </w:rPr>
      <w:t xml:space="preserve">pg. </w:t>
    </w:r>
    <w:r>
      <w:rPr>
        <w:rFonts w:ascii="Georgia" w:cs="Georgia" w:eastAsia="Georgia" w:hAnsi="Georgia"/>
        <w:color w:val="140F5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5A5A5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40" w:before="480"/>
    </w:pPr>
    <w:rPr>
      <w:rFonts w:ascii="Georgia" w:cs="Georgia" w:eastAsia="Georgia" w:hAnsi="Georgia"/>
      <w:b/>
      <w:bCs/>
      <w:color w:val="140F50"/>
      <w:sz w:val="32"/>
      <w:szCs w:val="32"/>
    </w:rPr>
  </w:style>
  <w:style w:type="paragraph" w:styleId="Heading2">
    <w:name w:val="Heading 2"/>
    <w:basedOn w:val="Normal"/>
    <w:next w:val="Normal"/>
    <w:qFormat/>
    <w:pPr>
      <w:spacing w:after="160" w:before="280"/>
    </w:pPr>
    <w:rPr>
      <w:rFonts w:ascii="Georgia" w:cs="Georgia" w:eastAsia="Georgia" w:hAnsi="Georgia"/>
      <w:b/>
      <w:bCs/>
      <w:color w:val="140F50"/>
      <w:sz w:val="24"/>
      <w:szCs w:val="24"/>
    </w:rPr>
  </w:style>
  <w:style w:type="paragraph" w:styleId="Heading3">
    <w:name w:val="Heading 3"/>
    <w:basedOn w:val="Normal"/>
    <w:next w:val="Normal"/>
    <w:qFormat/>
    <w:pPr>
      <w:spacing w:after="100" w:before="220"/>
    </w:pPr>
    <w:rPr>
      <w:rFonts w:ascii="Georgia" w:cs="Georgia" w:eastAsia="Georgia" w:hAnsi="Georgia"/>
      <w:b/>
      <w:bCs/>
      <w:color w:val="140F50"/>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0478c87e2b1a7d61d8eb91a260f3698301f2fb8c.png"/><Relationship Id="rId9" Type="http://schemas.openxmlformats.org/officeDocument/2006/relationships/image" Target="media/4f47cfa81574bacd54b87025f25aeb5ca1e6b4bb.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MITRE ATT&amp;CK as a Security Metric — Research Project</dc:title>
  <dc:creator>Junaid Abrar Razeen</dc:creator>
  <dc:description>INFO 5001 Research Project Report</dc:description>
  <cp:lastModifiedBy>Un-named</cp:lastModifiedBy>
  <cp:revision>1</cp:revision>
  <dcterms:created xsi:type="dcterms:W3CDTF">2026-05-26T15:10:18.199Z</dcterms:created>
  <dcterms:modified xsi:type="dcterms:W3CDTF">2026-05-26T15:10:18.213Z</dcterms:modified>
</cp:coreProperties>
</file>

<file path=docProps/custom.xml><?xml version="1.0" encoding="utf-8"?>
<Properties xmlns="http://schemas.openxmlformats.org/officeDocument/2006/custom-properties" xmlns:vt="http://schemas.openxmlformats.org/officeDocument/2006/docPropsVTypes"/>
</file>