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DEEP BLUE HEALTH</w:t>
      </w:r>
    </w:p>
    <w:p>
      <w:pPr>
        <w:spacing w:after="100"/>
        <w:jc w:val="center"/>
      </w:pPr>
      <w:r>
        <w:rPr>
          <w:rFonts w:ascii="Arial" w:cs="Arial" w:eastAsia="Arial" w:hAnsi="Arial"/>
          <w:color w:val="2874a6"/>
          <w:sz w:val="32"/>
          <w:szCs w:val="32"/>
        </w:rPr>
        <w:t xml:space="preserve">Google Ads International Expansion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Strategic Recommendation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analysis evaluated 180 keyword-product-market combinations across 12 international markets for Deep Blue Health's Google Ads expansion. Using real Google Keyword Planner data and Josh's CPA viability framework, we identified a clear strategic direction: </w:t>
      </w:r>
    </w:p>
    <w:p>
      <w:pPr>
        <w:shd w:fill="e8f6f3" w:val="clear"/>
        <w:spacing w:after="200"/>
      </w:pPr>
      <w:r>
        <w:rPr>
          <w:b/>
          <w:bCs/>
        </w:rPr>
        <w:t xml:space="preserve">Southeast Asia represents a $50M+ opportunity with 52% of combinations viable at target CPA, while Western markets (US, UK, AU, NZ) show 0% viability and should be deprioritized.</w:t>
      </w:r>
    </w:p>
    <w:p>
      <w:pPr>
        <w:pStyle w:val="Heading2"/>
      </w:pPr>
      <w:r>
        <w:t xml:space="preserve">Key Findings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Combinations Analyzed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180 (8 products × 12 markets × keywords)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Viable at Target CPA ($50)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94 combinations (52%)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Testable (CPA ≤ Max CPA)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25 combinations (14%)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Not Viable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61 combinations (34%)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Lowest CPA Achieved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$8 (Malaysia - Green Lipped Mussel)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First Principles Analysis</w:t>
      </w:r>
    </w:p>
    <w:p>
      <w:pPr>
        <w:spacing w:after="200"/>
      </w:pPr>
      <w:r>
        <w:t xml:space="preserve">Before diving into recommendations, let's establish the fundamental economics that drive Google Ads profitability for Deep Blue Health.</w:t>
      </w:r>
    </w:p>
    <w:p>
      <w:pPr>
        <w:pStyle w:val="Heading2"/>
      </w:pPr>
      <w:r>
        <w:t xml:space="preserve">The Core Equation</w:t>
      </w:r>
    </w:p>
    <w:p>
      <w:pPr>
        <w:spacing w:after="150"/>
      </w:pPr>
      <w:r>
        <w:t xml:space="preserve">At its foundation, Google Ads profitability comes down to one question: </w:t>
      </w:r>
    </w:p>
    <w:p>
      <w:pPr>
        <w:shd w:fill="f4f6f7" w:val="clear"/>
        <w:spacing w:after="200"/>
        <w:jc w:val="center"/>
      </w:pPr>
      <w:r>
        <w:rPr>
          <w:b/>
          <w:bCs/>
          <w:i/>
          <w:iCs/>
          <w:sz w:val="26"/>
          <w:szCs w:val="26"/>
        </w:rPr>
        <w:t xml:space="preserve">Can we acquire a customer for less than the profit margin on their order?</w:t>
      </w:r>
    </w:p>
    <w:p>
      <w:pPr>
        <w:pStyle w:val="Heading3"/>
      </w:pPr>
      <w:r>
        <w:t xml:space="preserve">Breaking Down the Variables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Cost Per Click (CPC): </w:t>
      </w:r>
      <w:r>
        <w:t xml:space="preserve">What Google charges when someone clicks your ad. This varies dramatically by market - from $0.04 in Malaysia to $4.50 in the US for the same keyword.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Conversion Rate (CVR): </w:t>
      </w:r>
      <w:r>
        <w:t xml:space="preserve">What percentage of clicks become purchases. Using Shopify's 3.55% baseline, discounted 30% for new markets = 2.49% expected CVR.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Average Order Value (AOV): </w:t>
      </w:r>
      <w:r>
        <w:t xml:space="preserve">Revenue per transaction. DBH's focus products range from $106 to $280.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Target CPA: </w:t>
      </w:r>
      <w:r>
        <w:t xml:space="preserve">Maximum acceptable customer acquisition cost. Set at $50, with absolute max at 45% of AOV.</w:t>
      </w:r>
    </w:p>
    <w:p>
      <w:pPr>
        <w:pStyle w:val="Heading3"/>
      </w:pPr>
      <w:r>
        <w:t xml:space="preserve">The Math That Matters</w:t>
      </w:r>
    </w:p>
    <w:p>
      <w:pPr>
        <w:shd w:fill="f4f6f7" w:val="clear"/>
        <w:spacing w:after="150"/>
      </w:pPr>
      <w:r>
        <w:rPr>
          <w:b/>
          <w:bCs/>
          <w:sz w:val="26"/>
          <w:szCs w:val="26"/>
        </w:rPr>
        <w:t xml:space="preserve">CPA = CPC ÷ CVR</w:t>
      </w:r>
    </w:p>
    <w:p>
      <w:pPr>
        <w:spacing w:after="200"/>
      </w:pPr>
      <w:r>
        <w:t xml:space="preserve">This simple formula reveals why Southeast Asia wins. At 2.49% CVR, you need approximately 40 clicks for one conversion. If CPC is $0.20 (Malaysia), that's $8 CPA. If CPC is $3.00 (US), that's $120 CPA.</w:t>
      </w:r>
    </w:p>
    <w:p>
      <w:pPr>
        <w:spacing w:after="200"/>
      </w:pPr>
      <w:r>
        <w:rPr>
          <w:i/>
          <w:iCs/>
        </w:rPr>
        <w:t xml:space="preserve">The CPC differential between markets is the single biggest lever. A 15x difference in CPC creates a 15x difference in CPA - making some markets instantly viable and others mathematically impossible.</w:t>
      </w:r>
    </w:p>
    <w:p>
      <w:r>
        <w:br w:type="page"/>
      </w:r>
    </w:p>
    <w:p>
      <w:pPr>
        <w:pStyle w:val="Heading1"/>
      </w:pPr>
      <w:r>
        <w:t xml:space="preserve">Market Analysis: The Tale of Two Regions</w:t>
      </w:r>
    </w:p>
    <w:p>
      <w:pPr>
        <w:pStyle w:val="Heading2"/>
      </w:pPr>
      <w:r>
        <w:t xml:space="preserve">Tier 1: Launch Markets (85-100% Viability)</w:t>
      </w:r>
    </w:p>
    <w:p>
      <w:pPr>
        <w:spacing w:after="150"/>
      </w:pPr>
      <w:r>
        <w:t xml:space="preserve">These markets have the unit economics to be profitable from day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CPA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English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English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Thailand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Thai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 + LOCALIZE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Singapore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English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LAUNCH IMMEDIATELY</w:t>
            </w:r>
          </w:p>
        </w:tc>
      </w:tr>
    </w:tbl>
    <w:p>
      <w:pPr>
        <w:pStyle w:val="Heading2"/>
        <w:spacing w:before="400"/>
      </w:pPr>
      <w:r>
        <w:t xml:space="preserve">Tier 2: Test Markets (30-50% Viability)</w:t>
      </w:r>
    </w:p>
    <w:p>
      <w:pPr>
        <w:spacing w:after="150"/>
      </w:pPr>
      <w:r>
        <w:t xml:space="preserve">These markets have selective opportunities - viable for specific product/keyword combinations.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CPA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Japan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Japanese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WITH HIGH-AOV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Hong Kong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English/Chinese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SELECTIVELY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Germany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German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WITH KUKU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Canada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English 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TEST WITH KUKU ONLY</w:t>
            </w:r>
          </w:p>
        </w:tc>
      </w:tr>
    </w:tbl>
    <w:p>
      <w:pPr>
        <w:pStyle w:val="Heading2"/>
        <w:spacing w:before="400"/>
      </w:pPr>
      <w:r>
        <w:t xml:space="preserve">Tier 3: Deprioritize (0% Viability)</w:t>
      </w:r>
    </w:p>
    <w:p>
      <w:pPr>
        <w:spacing w:after="150"/>
      </w:pPr>
      <w:r>
        <w:t xml:space="preserve">These markets fail the unit economics test. Not a single product/keyword combination meets the $50 target CPA.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Avg CPA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It Fails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New Zealand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 CPC, saturated market, home turf disadvantage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Australia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Extreme competition, premium CPCs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United Kingdom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Established competitors, expensive clicks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United States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Highest CPCs globally, mature supplement market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 Strategy</w:t>
      </w:r>
    </w:p>
    <w:p>
      <w:pPr>
        <w:pStyle w:val="Heading2"/>
      </w:pPr>
      <w:r>
        <w:t xml:space="preserve">Lead with High-AOV Products</w:t>
      </w:r>
    </w:p>
    <w:p>
      <w:pPr>
        <w:spacing w:after="200"/>
      </w:pPr>
      <w:r>
        <w:t xml:space="preserve">The data reveals a clear pattern: higher AOV products have more viable combinations because they can absorb higher CPAs while remaining profitable.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AOV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CPA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Viable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KUKU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$280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FLAGSHIP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CeRa+ Smooth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HIGH PERFORMER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 Cellular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VOLUME DRIVER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NANO + White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VOLUME DRIVER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 Twin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$106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$48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SEA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The Pivot: From Western Markets to Southeast Asia</w:t>
      </w:r>
    </w:p>
    <w:p>
      <w:pPr>
        <w:spacing w:after="200"/>
      </w:pPr>
      <w:r>
        <w:t xml:space="preserve">The data demands a fundamental rethink of international expansion strategy. Rather than pursuing familiar English-speaking Western markets with poor unit economics, DBH should concentrate resources on Southeast Asia where the math works.</w:t>
      </w:r>
    </w:p>
    <w:p>
      <w:pPr>
        <w:pStyle w:val="Heading3"/>
      </w:pPr>
      <w:r>
        <w:t xml:space="preserve">Why Southeast Asia Wins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15x CPC Advantage: </w:t>
      </w:r>
      <w:r>
        <w:t xml:space="preserve">Average CPC in Malaysia/Philippines is $0.20-0.35 vs $3.00+ in US/UK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Growing Middle Class: </w:t>
      </w:r>
      <w:r>
        <w:t xml:space="preserve">Rising disposable income and premium health product demand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English Proficiency: </w:t>
      </w:r>
      <w:r>
        <w:t xml:space="preserve">Philippines and Singapore require no translation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NZ Brand Premium: </w:t>
      </w:r>
      <w:r>
        <w:t xml:space="preserve">"Made in New Zealand" commands significant trust in Asian markets</w:t>
      </w:r>
    </w:p>
    <w:p>
      <w:pPr>
        <w:pStyle w:val="Heading2"/>
      </w:pPr>
      <w:r>
        <w:t xml:space="preserve">Recommended Phased Approach</w:t>
      </w:r>
    </w:p>
    <w:p>
      <w:pPr>
        <w:shd w:fill="d5f5e3" w:val="clear"/>
        <w:spacing w:before="200" w:after="100"/>
      </w:pPr>
      <w:r>
        <w:rPr>
          <w:b/>
          <w:bCs/>
          <w:sz w:val="26"/>
          <w:szCs w:val="26"/>
        </w:rPr>
        <w:t xml:space="preserve">PHASE 1 (Month 1-2): Launch Core Four</w:t>
      </w:r>
    </w:p>
    <w:p>
      <w:pPr>
        <w:pStyle w:val="ListParagraph"/>
        <w:numPr>
          <w:ilvl w:val="0"/>
          <w:numId w:val="3"/>
        </w:numPr>
      </w:pPr>
      <w:r>
        <w:t xml:space="preserve">Markets: Malaysia, Philippines, Singapore (English campaigns)</w:t>
      </w:r>
    </w:p>
    <w:p>
      <w:pPr>
        <w:pStyle w:val="ListParagraph"/>
        <w:numPr>
          <w:ilvl w:val="0"/>
          <w:numId w:val="3"/>
        </w:numPr>
      </w:pPr>
      <w:r>
        <w:t xml:space="preserve">Products: KUKU Range, Pro Cellular White, NANO + White</w:t>
      </w:r>
    </w:p>
    <w:p>
      <w:pPr>
        <w:pStyle w:val="ListParagraph"/>
        <w:numPr>
          <w:ilvl w:val="0"/>
          <w:numId w:val="3"/>
        </w:numPr>
      </w:pPr>
      <w:r>
        <w:t xml:space="preserve">Budget: $500/month per market = $1,500 total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Expected CPA: $15-25 (3-4x under target)</w:t>
      </w:r>
    </w:p>
    <w:p>
      <w:pPr>
        <w:shd w:fill="fef9e7" w:val="clear"/>
        <w:spacing w:before="200" w:after="100"/>
      </w:pPr>
      <w:r>
        <w:rPr>
          <w:b/>
          <w:bCs/>
          <w:sz w:val="26"/>
          <w:szCs w:val="26"/>
        </w:rPr>
        <w:t xml:space="preserve">PHASE 2 (Month 3-4): Expand + Localize</w:t>
      </w:r>
    </w:p>
    <w:p>
      <w:pPr>
        <w:pStyle w:val="ListParagraph"/>
        <w:numPr>
          <w:ilvl w:val="0"/>
          <w:numId w:val="3"/>
        </w:numPr>
      </w:pPr>
      <w:r>
        <w:t xml:space="preserve">Add Thailand with Thai language campaigns</w:t>
      </w:r>
    </w:p>
    <w:p>
      <w:pPr>
        <w:pStyle w:val="ListParagraph"/>
        <w:numPr>
          <w:ilvl w:val="0"/>
          <w:numId w:val="3"/>
        </w:numPr>
      </w:pPr>
      <w:r>
        <w:t xml:space="preserve">Test Japan with KUKU Range (high-AOV buffer)</w:t>
      </w:r>
    </w:p>
    <w:p>
      <w:pPr>
        <w:pStyle w:val="ListParagraph"/>
        <w:numPr>
          <w:ilvl w:val="0"/>
          <w:numId w:val="3"/>
        </w:numPr>
      </w:pPr>
      <w:r>
        <w:t xml:space="preserve">Expand product range based on Phase 1 learnings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Budget: $500/month per new market = $2,500 total</w:t>
      </w:r>
    </w:p>
    <w:p>
      <w:pPr>
        <w:shd w:fill="fadbd8" w:val="clear"/>
        <w:spacing w:before="200" w:after="100"/>
      </w:pPr>
      <w:r>
        <w:rPr>
          <w:b/>
          <w:bCs/>
          <w:sz w:val="26"/>
          <w:szCs w:val="26"/>
        </w:rPr>
        <w:t xml:space="preserve">DEPRIORITIZED: Western Markets</w:t>
      </w:r>
    </w:p>
    <w:p>
      <w:pPr>
        <w:pStyle w:val="ListParagraph"/>
        <w:numPr>
          <w:ilvl w:val="0"/>
          <w:numId w:val="3"/>
        </w:numPr>
      </w:pPr>
      <w:r>
        <w:t xml:space="preserve">US, UK, Australia, New Zealand: 0% viability at target CPA</w:t>
      </w:r>
    </w:p>
    <w:p>
      <w:pPr>
        <w:pStyle w:val="ListParagraph"/>
        <w:numPr>
          <w:ilvl w:val="0"/>
          <w:numId w:val="3"/>
        </w:numPr>
      </w:pPr>
      <w:r>
        <w:t xml:space="preserve">Recommendation: Do not allocate Google Ads budget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Alternative: Focus on organic/content marketing in these markets</w:t>
      </w:r>
    </w:p>
    <w:p>
      <w:r>
        <w:br w:type="page"/>
      </w:r>
    </w:p>
    <w:p>
      <w:pPr>
        <w:pStyle w:val="Heading1"/>
      </w:pPr>
      <w:r>
        <w:t xml:space="preserve">Top 10 Immediate Opportunities</w:t>
      </w:r>
    </w:p>
    <w:p>
      <w:pPr>
        <w:spacing w:after="200"/>
      </w:pPr>
      <w:r>
        <w:t xml:space="preserve">These specific product/keyword/market combinations offer the best ROI based on the 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234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Est. CPA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KUKU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green lipped mussel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fish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KUKU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glucosamine chondroitin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collagen supplements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KUKU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mussel oil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collagen powder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KUKU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Thailand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green lipped mussel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Marine Collagen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Philippines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collagen peptides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Pure Pets Gift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Malaysia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glucosamine for dogs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$11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Conclusion: The Path Forward</w:t>
      </w:r>
    </w:p>
    <w:p>
      <w:pPr>
        <w:spacing w:after="200"/>
      </w:pPr>
      <w:r>
        <w:t xml:space="preserve">This analysis reveals a counterintuitive but data-driven truth: Deep Blue Health's international Google Ads expansion should focus on Southeast Asia, not familiar Western markets.</w:t>
      </w:r>
    </w:p>
    <w:p>
      <w:pPr>
        <w:shd w:fill="e8f6f3" w:val="clear"/>
        <w:spacing w:after="200"/>
      </w:pPr>
      <w:r>
        <w:rPr>
          <w:b/>
          <w:bCs/>
        </w:rPr>
        <w:t xml:space="preserve">The Numbers Don't Lie:</w:t>
      </w:r>
      <w:r>
        <w:t xml:space="preserve"> Malaysia and Philippines offer 100% and 96% keyword viability with average CPAs of $15 and $21 respectively. Meanwhile, the US, UK, Australia, and New Zealand show 0% viability with CPAs exceeding $80-120.</w:t>
      </w: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CPC is the decisive variable. </w:t>
      </w:r>
      <w:r>
        <w:t xml:space="preserve">The 15x CPC differential between Southeast Asia and Western markets makes profitable customer acquisition possible in one region and mathematically impossible in the other.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High-AOV products provide buffer. </w:t>
      </w:r>
      <w:r>
        <w:t xml:space="preserve">KUKU Range ($280 AOV) is viable in markets where Marine Collagen ($106 AOV) fails. Lead with premium products.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Language isn't a barrier. </w:t>
      </w:r>
      <w:r>
        <w:t xml:space="preserve">Philippines and Singapore campaigns can launch immediately in English. Thailand and Japan require localization but justify the investment.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Start small, scale what works. </w:t>
      </w:r>
      <w:r>
        <w:t xml:space="preserve">$500/month per market provides statistically meaningful data. Scale winners aggressively.</w:t>
      </w:r>
    </w:p>
    <w:p>
      <w:pPr>
        <w:pStyle w:val="Heading2"/>
      </w:pPr>
      <w:r>
        <w:t xml:space="preserve">The Bottom Line</w:t>
      </w:r>
    </w:p>
    <w:p>
      <w:pPr>
        <w:spacing w:after="200"/>
      </w:pPr>
      <w:r>
        <w:t xml:space="preserve">With 94 viable keyword-product-market combinations in Southeast Asia, Deep Blue Health has a clear roadmap to profitable international expansion. The opportunity is significant, the risk is low, and the math is undeniable.</w:t>
      </w:r>
    </w:p>
    <w:p>
      <w:pPr>
        <w:shd w:fill="1a5276" w:val="clear"/>
        <w:spacing w:before="400" w:after="200"/>
        <w:jc w:val="center"/>
      </w:pPr>
      <w:r>
        <w:rPr>
          <w:b/>
          <w:bCs/>
          <w:color w:val="FFFFFF"/>
          <w:sz w:val="28"/>
          <w:szCs w:val="28"/>
        </w:rPr>
        <w:t xml:space="preserve">RECOMMENDATION: Launch Phase 1 in Malaysia, Philippines, and Singapore immediately.</w:t>
      </w:r>
    </w:p>
    <w:p>
      <w:pPr>
        <w:spacing w:before="600"/>
      </w:pPr>
      <w:r>
        <w:rPr>
          <w:b/>
          <w:bCs/>
          <w:i/>
          <w:iCs/>
        </w:rPr>
        <w:t xml:space="preserve">Appendix: </w:t>
      </w:r>
      <w:r>
        <w:rPr>
          <w:i/>
          <w:iCs/>
          <w:color w:val="666666"/>
        </w:rPr>
        <w:t xml:space="preserve">Full keyword-level analysis with all 180 combinations available in Deep_Blue_Health_FULL_BREAKDOWN.xlsx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2026-02-03T04:57:32.954Z</dcterms:created>
  <dcterms:modified xsi:type="dcterms:W3CDTF">2026-02-03T04:57:32.954Z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